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eastAsia="Times New Roman" w:cs="arial"/>
          <w:b/>
          <w:b/>
          <w:bCs/>
          <w:color w:val="00000A"/>
          <w:sz w:val="24"/>
          <w:szCs w:val="24"/>
          <w:u w:val="single"/>
          <w:lang w:val="pt-BR" w:eastAsia="zxx" w:bidi="ar-SA"/>
        </w:rPr>
      </w:pPr>
      <w:r>
        <w:rPr>
          <w:rFonts w:eastAsia="Times New Roman" w:cs="arial" w:ascii="arial" w:hAnsi="arial"/>
          <w:b/>
          <w:bCs/>
          <w:color w:val="00000A"/>
          <w:sz w:val="24"/>
          <w:szCs w:val="24"/>
          <w:u w:val="single"/>
          <w:lang w:val="pt-BR" w:eastAsia="zxx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Fonts w:eastAsia="Times New Roman" w:cs="arial" w:ascii="arial" w:hAnsi="arial"/>
          <w:b/>
          <w:bCs/>
          <w:color w:val="00000A"/>
          <w:sz w:val="24"/>
          <w:szCs w:val="24"/>
          <w:u w:val="single"/>
          <w:lang w:val="pt-BR" w:eastAsia="zxx" w:bidi="ar-SA"/>
        </w:rPr>
        <w:t>INTENÇÃO DE REGISTRO DE PREÇOS Nº 02</w:t>
      </w:r>
      <w:r>
        <w:rPr>
          <w:rFonts w:eastAsia="Times New Roman" w:cs="arial" w:ascii="arial" w:hAnsi="arial"/>
          <w:b/>
          <w:bCs/>
          <w:color w:val="00000A"/>
          <w:sz w:val="24"/>
          <w:szCs w:val="24"/>
          <w:u w:val="single"/>
          <w:lang w:val="pt-BR" w:eastAsia="zxx" w:bidi="ar-SA"/>
        </w:rPr>
        <w:t>2</w:t>
      </w:r>
      <w:r>
        <w:rPr>
          <w:rFonts w:eastAsia="Times New Roman" w:cs="arial" w:ascii="arial" w:hAnsi="arial"/>
          <w:b/>
          <w:bCs/>
          <w:color w:val="00000A"/>
          <w:sz w:val="24"/>
          <w:szCs w:val="24"/>
          <w:u w:val="single"/>
          <w:lang w:val="pt-BR" w:eastAsia="zxx" w:bidi="ar-SA"/>
        </w:rPr>
        <w:t>/2026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eastAsia="Calibri" w:cs="Calibri"/>
          <w:color w:val="00000A"/>
          <w:sz w:val="16"/>
          <w:szCs w:val="20"/>
          <w:lang w:val="pt-BR" w:eastAsia="zxx" w:bidi="ar-SA"/>
        </w:rPr>
      </w:pPr>
      <w:r>
        <w:rPr>
          <w:rFonts w:eastAsia="Calibri" w:cs="Calibri"/>
          <w:color w:val="00000A"/>
          <w:sz w:val="16"/>
          <w:szCs w:val="20"/>
          <w:lang w:val="pt-BR" w:eastAsia="zxx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u w:val="none"/>
        </w:rPr>
      </w:pPr>
      <w:r>
        <w:rPr>
          <w:rFonts w:eastAsia="Times New Roman" w:cs="arial" w:ascii="arial" w:hAnsi="arial"/>
          <w:b/>
          <w:bCs/>
          <w:color w:val="00000A"/>
          <w:sz w:val="24"/>
          <w:szCs w:val="24"/>
          <w:u w:val="none"/>
          <w:lang w:val="pt-BR" w:eastAsia="zxx" w:bidi="ar-SA"/>
        </w:rPr>
        <w:t>SOLICITAÇÃO DE PARTICIPAÇÃO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arial" w:hAnsi="arial" w:eastAsia="Times New Roman" w:cs="arial"/>
          <w:color w:val="00000A"/>
          <w:sz w:val="24"/>
          <w:szCs w:val="24"/>
          <w:lang w:val="pt-BR" w:eastAsia="zxx" w:bidi="ar-SA"/>
        </w:rPr>
      </w:pPr>
      <w:r>
        <w:rPr>
          <w:rFonts w:eastAsia="Times New Roman" w:cs="arial" w:ascii="arial" w:hAnsi="arial"/>
          <w:color w:val="00000A"/>
          <w:sz w:val="24"/>
          <w:szCs w:val="24"/>
          <w:lang w:val="pt-BR" w:eastAsia="zxx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eastAsia="Times New Roman" w:cs="Arial"/>
          <w:b/>
          <w:b/>
          <w:bCs/>
          <w:color w:val="000000"/>
          <w:sz w:val="24"/>
          <w:szCs w:val="24"/>
          <w:lang w:eastAsia="ar-SA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lang w:eastAsia="ar-SA"/>
        </w:rPr>
        <w:t>1. OBJETO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eastAsia="Times New Roman" w:cs="Arial"/>
          <w:color w:val="000000"/>
          <w:sz w:val="24"/>
          <w:szCs w:val="24"/>
          <w:lang w:eastAsia="ar-SA"/>
        </w:rPr>
      </w:pPr>
      <w:r>
        <w:rPr>
          <w:rFonts w:eastAsia="Times New Roman" w:cs="Arial"/>
          <w:color w:val="000000"/>
          <w:sz w:val="24"/>
          <w:szCs w:val="24"/>
          <w:lang w:eastAsia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eastAsia="Times New Roman" w:cs="Arial" w:ascii="Arial" w:hAnsi="Arial"/>
          <w:color w:val="000000"/>
          <w:sz w:val="24"/>
          <w:szCs w:val="24"/>
          <w:lang w:val="pt-BR" w:eastAsia="ar-SA" w:bidi="ar-SA"/>
        </w:rPr>
        <w:t xml:space="preserve">1.1. Constitui objeto deste instrumento a </w:t>
      </w:r>
      <w:r>
        <w:rPr>
          <w:rStyle w:val="Fontepargpadro"/>
          <w:rFonts w:eastAsia="Times New Roman" w:cs="Times New Roman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shd w:fill="FFFFFF" w:val="clear"/>
          <w:em w:val="none"/>
          <w:lang w:val="pt-BR" w:eastAsia="pt-BR" w:bidi="ar-SA"/>
        </w:rPr>
        <w:t xml:space="preserve">aquisição de </w:t>
      </w:r>
      <w:r>
        <w:rPr>
          <w:rStyle w:val="Fontepargpadro"/>
          <w:rFonts w:eastAsia="Times New Roman" w:cs="Times New Roman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4"/>
          <w:szCs w:val="24"/>
          <w:highlight w:val="white"/>
          <w:u w:val="none"/>
          <w:shd w:fill="FFFFFF" w:val="clear"/>
          <w:em w:val="none"/>
          <w:lang w:val="pt-BR" w:eastAsia="pt-BR" w:bidi="ar-SA"/>
        </w:rPr>
        <w:t>dietas em sistema fechado e suplementos nutricionais, com comodato de bombas e bonificação de equipos</w:t>
      </w:r>
      <w:r>
        <w:rPr>
          <w:rFonts w:eastAsia="Times New Roman" w:cs="Arial" w:ascii="Arial" w:hAnsi="Arial"/>
          <w:b w:val="false"/>
          <w:bCs w:val="false"/>
          <w:color w:val="000000"/>
          <w:sz w:val="24"/>
          <w:szCs w:val="24"/>
          <w:highlight w:val="white"/>
          <w:lang w:val="pt-BR" w:eastAsia="ar-SA" w:bidi="ar-SA"/>
        </w:rPr>
        <w:t>, via Sistema de Registro de Preços,</w:t>
      </w:r>
      <w:r>
        <w:rPr>
          <w:rFonts w:eastAsia="Times New Roman" w:cs="Arial" w:ascii="Arial" w:hAnsi="Arial"/>
          <w:color w:val="000000"/>
          <w:sz w:val="24"/>
          <w:szCs w:val="24"/>
          <w:highlight w:val="white"/>
          <w:lang w:val="pt-BR" w:eastAsia="ar-SA" w:bidi="ar-SA"/>
        </w:rPr>
        <w:t xml:space="preserve"> para atendimento aos Órgãos da Administração Direta e Indireta do Município de Varginha.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highlight w:val="white"/>
        </w:rPr>
      </w:pPr>
      <w:r>
        <w:rPr>
          <w:highlight w:val="white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eastAsia="Times New Roman" w:cs="Arial"/>
          <w:color w:val="000000"/>
          <w:sz w:val="24"/>
          <w:szCs w:val="24"/>
          <w:lang w:val="pt-BR" w:eastAsia="ar-SA" w:bidi="ar-SA"/>
        </w:rPr>
      </w:pPr>
      <w:r>
        <w:rPr>
          <w:rFonts w:eastAsia="Times New Roman" w:cs="Arial" w:ascii="Arial" w:hAnsi="Arial"/>
          <w:color w:val="000000"/>
          <w:sz w:val="24"/>
          <w:szCs w:val="24"/>
          <w:highlight w:val="white"/>
          <w:lang w:val="pt-BR" w:eastAsia="ar-SA" w:bidi="ar-SA"/>
        </w:rPr>
        <w:t>1.2. Estima-se a aquisição dos seguintes itens e respectivas quantidades: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highlight w:val="white"/>
        </w:rPr>
      </w:pPr>
      <w:r>
        <w:rPr>
          <w:highlight w:val="white"/>
        </w:rPr>
      </w:r>
    </w:p>
    <w:tbl>
      <w:tblPr>
        <w:tblW w:w="9240" w:type="dxa"/>
        <w:jc w:val="left"/>
        <w:tblInd w:w="-22" w:type="dxa"/>
        <w:tblLayout w:type="fixed"/>
        <w:tblCellMar>
          <w:top w:w="0" w:type="dxa"/>
          <w:left w:w="2" w:type="dxa"/>
          <w:bottom w:w="0" w:type="dxa"/>
          <w:right w:w="57" w:type="dxa"/>
        </w:tblCellMar>
      </w:tblPr>
      <w:tblGrid>
        <w:gridCol w:w="667"/>
        <w:gridCol w:w="4010"/>
        <w:gridCol w:w="1679"/>
        <w:gridCol w:w="1459"/>
        <w:gridCol w:w="1425"/>
      </w:tblGrid>
      <w:tr>
        <w:trPr/>
        <w:tc>
          <w:tcPr>
            <w:tcW w:w="6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eastAsia="Times New Roman" w:cs="Arial" w:ascii="Arial" w:hAnsi="Arial"/>
                <w:b/>
                <w:bCs/>
                <w:sz w:val="22"/>
                <w:szCs w:val="22"/>
              </w:rPr>
              <w:t>Item</w:t>
            </w:r>
            <w:r>
              <w:rPr>
                <w:rFonts w:eastAsia="Times New Roman" w:cs="Arial" w:ascii="Arial" w:hAnsi="Arial"/>
                <w:b/>
                <w:bCs/>
                <w:color w:val="FF3333"/>
                <w:sz w:val="22"/>
                <w:szCs w:val="22"/>
              </w:rPr>
              <w:t>*</w:t>
            </w:r>
          </w:p>
        </w:tc>
        <w:tc>
          <w:tcPr>
            <w:tcW w:w="40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eastAsia="Times New Roman" w:cs="Arial" w:ascii="Arial" w:hAnsi="Arial"/>
                <w:b/>
                <w:bCs/>
                <w:sz w:val="22"/>
                <w:szCs w:val="22"/>
              </w:rPr>
              <w:t>Especificação</w:t>
            </w:r>
          </w:p>
        </w:tc>
        <w:tc>
          <w:tcPr>
            <w:tcW w:w="1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Quantidade para 12 meses</w:t>
            </w:r>
          </w:p>
        </w:tc>
        <w:tc>
          <w:tcPr>
            <w:tcW w:w="14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Valor unit.</w:t>
            </w:r>
            <w:r>
              <w:rPr>
                <w:rFonts w:ascii="Arial" w:hAnsi="Arial"/>
                <w:b/>
                <w:bCs/>
                <w:color w:val="FF3333"/>
                <w:sz w:val="22"/>
                <w:szCs w:val="22"/>
              </w:rPr>
              <w:t>**</w:t>
            </w:r>
          </w:p>
        </w:tc>
        <w:tc>
          <w:tcPr>
            <w:tcW w:w="14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Valor Total</w:t>
            </w:r>
          </w:p>
        </w:tc>
      </w:tr>
      <w:tr>
        <w:trPr>
          <w:trHeight w:val="1437" w:hRule="atLeast"/>
        </w:trPr>
        <w:tc>
          <w:tcPr>
            <w:tcW w:w="6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457" w:leader="none"/>
              </w:tabs>
              <w:bidi w:val="0"/>
              <w:spacing w:lineRule="auto" w:line="240" w:before="0" w:after="0"/>
              <w:ind w:left="0" w:right="0" w:hanging="0"/>
              <w:jc w:val="center"/>
              <w:rPr>
                <w:rFonts w:ascii="Arial" w:hAnsi="Arial" w:eastAsia="Times New Roman" w:cs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sz w:val="22"/>
                <w:szCs w:val="22"/>
              </w:rPr>
            </w:r>
          </w:p>
        </w:tc>
        <w:tc>
          <w:tcPr>
            <w:tcW w:w="40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457" w:leader="none"/>
              </w:tabs>
              <w:bidi w:val="0"/>
              <w:spacing w:lineRule="auto" w:line="240" w:before="0" w:after="0"/>
              <w:ind w:left="0" w:right="0" w:hanging="0"/>
              <w:jc w:val="both"/>
              <w:rPr>
                <w:rStyle w:val="Fontepargpadro"/>
                <w:rFonts w:ascii="Arial" w:hAnsi="Arial" w:eastAsia="Times New Roman" w:cs="Arial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spacing w:val="0"/>
                <w:highlight w:val="white"/>
                <w:u w:val="none"/>
                <w:lang w:val="pt-BR" w:eastAsia="zxx" w:bidi="ar-SA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A"/>
                <w:spacing w:val="0"/>
                <w:highlight w:val="white"/>
                <w:u w:val="none"/>
                <w:lang w:val="pt-BR" w:eastAsia="zxx" w:bidi="ar-SA"/>
              </w:rPr>
            </w:r>
          </w:p>
        </w:tc>
        <w:tc>
          <w:tcPr>
            <w:tcW w:w="16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457" w:leader="none"/>
              </w:tabs>
              <w:bidi w:val="0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  <w:tc>
          <w:tcPr>
            <w:tcW w:w="14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457" w:leader="none"/>
              </w:tabs>
              <w:bidi w:val="0"/>
              <w:snapToGrid w:val="false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1"/>
                <w:szCs w:val="21"/>
                <w:u w:val="none"/>
                <w:em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1"/>
                <w:szCs w:val="21"/>
                <w:u w:val="none"/>
                <w:em w:val="none"/>
              </w:rPr>
            </w:r>
          </w:p>
        </w:tc>
        <w:tc>
          <w:tcPr>
            <w:tcW w:w="14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408"/>
                <w:tab w:val="left" w:pos="457" w:leader="none"/>
              </w:tabs>
              <w:bidi w:val="0"/>
              <w:snapToGrid w:val="false"/>
              <w:spacing w:lineRule="auto" w:line="240" w:before="0" w:after="0"/>
              <w:ind w:left="0" w:right="0" w:hanging="0"/>
              <w:jc w:val="center"/>
              <w:rPr>
                <w:rFonts w:ascii="Arial" w:hAnsi="Arial"/>
                <w:b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408"/>
          <w:tab w:val="left" w:pos="0" w:leader="none"/>
        </w:tabs>
        <w:bidi w:val="0"/>
        <w:spacing w:lineRule="auto" w:line="240" w:before="0" w:after="0"/>
        <w:ind w:left="0" w:right="0" w:hanging="0"/>
        <w:jc w:val="left"/>
        <w:rPr>
          <w:rStyle w:val="LinkdaInternet"/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cs="arial" w:ascii="arial" w:hAnsi="arial"/>
          <w:color w:val="FF3333"/>
          <w:sz w:val="24"/>
          <w:szCs w:val="24"/>
        </w:rPr>
        <w:t>* Preencher o número do item conforme sequencial do Termo de Referência.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cs="arial" w:ascii="arial" w:hAnsi="arial"/>
          <w:color w:val="FF3333"/>
          <w:sz w:val="24"/>
          <w:szCs w:val="24"/>
        </w:rPr>
        <w:t>** Os valores unitários deverão ser preenchidos de acordo com os valores informados no Termo de Referência.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color w:val="FF3333"/>
          <w:sz w:val="24"/>
          <w:szCs w:val="24"/>
        </w:rPr>
      </w:pPr>
      <w:r>
        <w:rPr>
          <w:rFonts w:cs="arial" w:ascii="arial" w:hAnsi="arial"/>
          <w:color w:val="FF3333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cs="arial" w:ascii="arial" w:hAnsi="arial"/>
          <w:b/>
          <w:bCs/>
          <w:color w:val="000000"/>
          <w:sz w:val="24"/>
          <w:szCs w:val="24"/>
        </w:rPr>
        <w:t xml:space="preserve">Obs¹.: </w:t>
      </w:r>
      <w:r>
        <w:rPr>
          <w:rFonts w:cs="arial" w:ascii="arial" w:hAnsi="arial"/>
          <w:color w:val="000000"/>
          <w:sz w:val="24"/>
          <w:szCs w:val="24"/>
        </w:rPr>
        <w:t>A solicitação deverá ser cadastrada no sistema Betha, com os códigos constantes no(s) item(ns) do Termo de Referência.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b/>
          <w:b/>
          <w:bCs/>
          <w:color w:val="000000"/>
          <w:sz w:val="24"/>
          <w:szCs w:val="24"/>
        </w:rPr>
      </w:pPr>
      <w:r>
        <w:rPr>
          <w:rFonts w:cs="arial" w:ascii="arial" w:hAnsi="arial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cs="arial" w:ascii="arial" w:hAnsi="arial"/>
          <w:b/>
          <w:bCs/>
          <w:color w:val="000000"/>
          <w:sz w:val="24"/>
          <w:szCs w:val="24"/>
        </w:rPr>
        <w:t xml:space="preserve">Obs².: </w:t>
      </w:r>
      <w:r>
        <w:rPr>
          <w:rFonts w:cs="arial" w:ascii="arial" w:hAnsi="arial"/>
          <w:b w:val="false"/>
          <w:bCs w:val="false"/>
          <w:color w:val="000000"/>
          <w:sz w:val="24"/>
          <w:szCs w:val="24"/>
          <w:u w:val="single"/>
        </w:rPr>
        <w:t xml:space="preserve">No momento do preenchimento da solicitação no sistema, deverá ser escolhida como </w:t>
      </w:r>
      <w:r>
        <w:rPr>
          <w:rFonts w:cs="arial" w:ascii="arial" w:hAnsi="arial"/>
          <w:b/>
          <w:bCs/>
          <w:color w:val="000000"/>
          <w:sz w:val="24"/>
          <w:szCs w:val="24"/>
          <w:u w:val="single"/>
        </w:rPr>
        <w:t>entidade gestora*</w:t>
      </w:r>
      <w:r>
        <w:rPr>
          <w:rFonts w:cs="arial" w:ascii="arial" w:hAnsi="arial"/>
          <w:b w:val="false"/>
          <w:bCs w:val="false"/>
          <w:color w:val="000000"/>
          <w:sz w:val="24"/>
          <w:szCs w:val="24"/>
          <w:u w:val="single"/>
        </w:rPr>
        <w:t xml:space="preserve"> a Fundação Hospitalar do Município de Varginha.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color w:val="FF3333"/>
          <w:sz w:val="26"/>
          <w:szCs w:val="26"/>
        </w:rPr>
      </w:pPr>
      <w:r>
        <w:rPr>
          <w:rFonts w:cs="arial" w:ascii="arial" w:hAnsi="arial"/>
          <w:color w:val="FF3333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b/>
          <w:b/>
          <w:bCs/>
          <w:color w:val="000000"/>
          <w:sz w:val="24"/>
          <w:szCs w:val="24"/>
        </w:rPr>
      </w:pPr>
      <w:r>
        <w:rPr>
          <w:rFonts w:cs="arial" w:ascii="arial" w:hAnsi="arial"/>
          <w:b/>
          <w:bCs/>
          <w:color w:val="000000"/>
          <w:sz w:val="24"/>
          <w:szCs w:val="24"/>
          <w:shd w:fill="auto" w:val="clear"/>
        </w:rPr>
        <w:t>2. CONDIÇÕES GE</w:t>
      </w:r>
      <w:r>
        <w:rPr>
          <w:rFonts w:cs="arial" w:ascii="arial" w:hAnsi="arial"/>
          <w:b/>
          <w:bCs/>
          <w:color w:val="000000"/>
          <w:sz w:val="24"/>
          <w:szCs w:val="24"/>
        </w:rPr>
        <w:t>RAIS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arial" w:hAnsi="arial" w:cs="arial"/>
          <w:color w:val="FF3333"/>
          <w:sz w:val="21"/>
          <w:szCs w:val="21"/>
        </w:rPr>
      </w:pPr>
      <w:r>
        <w:rPr>
          <w:rFonts w:cs="arial" w:ascii="arial" w:hAnsi="arial"/>
          <w:color w:val="FF3333"/>
          <w:sz w:val="21"/>
          <w:szCs w:val="21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/>
      </w:pPr>
      <w:r>
        <w:rPr>
          <w:rFonts w:cs="arial" w:ascii="Arial" w:hAnsi="Arial"/>
          <w:color w:val="000000"/>
          <w:sz w:val="24"/>
          <w:szCs w:val="24"/>
          <w:shd w:fill="FFFFFF" w:val="clear"/>
        </w:rPr>
        <w:t xml:space="preserve">2.1.  A contratação se dará em conformidade do disposto no Art. 29 da Lei Federal nº 14.133 de 01 de abril de 2021, Art. 122 do </w:t>
      </w:r>
      <w:bookmarkStart w:id="0" w:name="__DdeLink__59896_2999242570"/>
      <w:r>
        <w:rPr>
          <w:rFonts w:cs="arial" w:ascii="Arial" w:hAnsi="Arial"/>
          <w:color w:val="000000"/>
          <w:sz w:val="24"/>
          <w:szCs w:val="24"/>
          <w:shd w:fill="FFFFFF" w:val="clear"/>
        </w:rPr>
        <w:t>Decreto Municipal nº 11.595/2023</w:t>
      </w:r>
      <w:bookmarkEnd w:id="0"/>
      <w:r>
        <w:rPr>
          <w:rFonts w:cs="arial" w:ascii="Arial" w:hAnsi="Arial"/>
          <w:color w:val="000000"/>
          <w:sz w:val="24"/>
          <w:szCs w:val="24"/>
          <w:shd w:fill="FFFFFF" w:val="clear"/>
        </w:rPr>
        <w:t xml:space="preserve"> e Decreto Municipal nº 11.598/2023, bem como demais disposições legais aplicáveis à espécie.</w:t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Times New Roman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2"/>
          <w:sz w:val="24"/>
          <w:szCs w:val="24"/>
          <w:u w:val="none"/>
          <w:shd w:fill="FFFFFF" w:val="clear"/>
          <w:lang w:val="pt-BR" w:eastAsia="zxx" w:bidi="ar-SA"/>
        </w:rPr>
      </w:pPr>
      <w:r>
        <w:rPr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2"/>
          <w:sz w:val="24"/>
          <w:szCs w:val="24"/>
          <w:u w:val="none"/>
          <w:shd w:fill="FFFFFF" w:val="clear"/>
          <w:lang w:val="pt-BR" w:eastAsia="zxx" w:bidi="ar-SA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2"/>
          <w:sz w:val="24"/>
          <w:szCs w:val="24"/>
          <w:u w:val="none"/>
          <w:shd w:fill="auto" w:val="clear"/>
          <w:lang w:val="pt-BR" w:eastAsia="zxx" w:bidi="ar-SA"/>
        </w:rPr>
        <w:t>2.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2"/>
          <w:sz w:val="24"/>
          <w:szCs w:val="24"/>
          <w:u w:val="none"/>
          <w:shd w:fill="auto" w:val="clear"/>
          <w:lang w:val="pt-BR" w:eastAsia="zxx" w:bidi="ar-SA"/>
        </w:rPr>
        <w:t>2.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2"/>
          <w:sz w:val="24"/>
          <w:szCs w:val="24"/>
          <w:u w:val="none"/>
          <w:shd w:fill="auto" w:val="clear"/>
          <w:lang w:val="pt-BR" w:eastAsia="zxx" w:bidi="ar-SA"/>
        </w:rPr>
        <w:t xml:space="preserve"> 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2"/>
          <w:sz w:val="24"/>
          <w:szCs w:val="24"/>
          <w:u w:val="none"/>
          <w:shd w:fill="FFFFFF" w:val="clear"/>
          <w:lang w:val="pt-BR" w:eastAsia="zxx" w:bidi="ar-SA"/>
        </w:rPr>
        <w:t>O fornecimento dos produtos processar-se-á de forma parcelada, mediante solicitação.</w:t>
      </w:r>
    </w:p>
    <w:p>
      <w:pPr>
        <w:pStyle w:val="Normal"/>
        <w:bidi w:val="0"/>
        <w:spacing w:lineRule="auto" w:line="252" w:before="0" w:after="0"/>
        <w:jc w:val="both"/>
        <w:rPr>
          <w:rStyle w:val="Fontepargpadro"/>
          <w:rFonts w:ascii="Arial" w:hAnsi="Arial" w:cs="Arial"/>
          <w:bCs/>
        </w:rPr>
      </w:pPr>
      <w:r>
        <w:rPr>
          <w:rFonts w:cs="Arial" w:ascii="Arial" w:hAnsi="Arial"/>
          <w:bCs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/>
      </w:pPr>
      <w:r>
        <w:rPr>
          <w:rFonts w:eastAsia="Calibri" w:cs="arial" w:ascii="Arial" w:hAnsi="Arial"/>
          <w:color w:val="000000"/>
          <w:sz w:val="24"/>
          <w:szCs w:val="24"/>
          <w:shd w:fill="FFFFFF" w:val="clear"/>
          <w:lang w:val="pt-BR" w:eastAsia="zh-CN" w:bidi="ar-SA"/>
        </w:rPr>
        <w:t xml:space="preserve">2.3. 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highlight w:val="white"/>
          <w:lang w:val="pt-BR" w:eastAsia="zxx" w:bidi="ar-SA"/>
        </w:rPr>
        <w:t>O prazo de início da contratação dar-se-á a partir d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highlight w:val="white"/>
          <w:lang w:val="pt-BR" w:eastAsia="zxx" w:bidi="ar-SA"/>
        </w:rPr>
        <w:t>e 16/10/2026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highlight w:val="white"/>
          <w:lang w:val="pt-BR" w:eastAsia="zxx" w:bidi="ar-SA"/>
        </w:rPr>
        <w:t xml:space="preserve">. </w:t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>
          <w:rStyle w:val="Fontepargpadro"/>
          <w:rFonts w:eastAsia="Calibri"/>
          <w:i w:val="false"/>
          <w:i w:val="false"/>
          <w:iCs w:val="false"/>
          <w:lang w:val="pt-BR" w:eastAsia="zh-CN" w:bidi="ar-SA"/>
        </w:rPr>
      </w:pPr>
      <w:r>
        <w:rPr>
          <w:rFonts w:eastAsia="Calibri"/>
          <w:i w:val="false"/>
          <w:iCs w:val="false"/>
          <w:lang w:val="pt-BR" w:eastAsia="zh-CN" w:bidi="ar-SA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pt-BR" w:eastAsia="zxx" w:bidi="ar-SA"/>
        </w:rPr>
        <w:t>2.4. Os produtos deverão ser fornecidos em estrita observância às especificações contidas no Termo de Referência, leis e normas v</w:t>
      </w:r>
      <w:r>
        <w:rPr>
          <w:rStyle w:val="Fontepargpadro"/>
          <w:rFonts w:eastAsia="Times New Roman" w:cs="Times New Roman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pt-BR" w:eastAsia="zxx" w:bidi="ar-SA"/>
        </w:rPr>
        <w:t xml:space="preserve">igentes. </w:t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2"/>
          <w:sz w:val="24"/>
          <w:szCs w:val="24"/>
          <w:highlight w:val="white"/>
          <w:u w:val="none"/>
          <w:lang w:val="pt-BR" w:eastAsia="zh-CN" w:bidi="ar-SA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2"/>
          <w:sz w:val="24"/>
          <w:szCs w:val="24"/>
          <w:highlight w:val="white"/>
          <w:u w:val="none"/>
          <w:lang w:val="pt-BR" w:eastAsia="zh-CN" w:bidi="ar-SA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Arial Unicode MS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zxx" w:eastAsia="zxx" w:bidi="zxx"/>
        </w:rPr>
        <w:t xml:space="preserve">2.5. 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zxx" w:eastAsia="pt-BR" w:bidi="zxx"/>
        </w:rPr>
        <w:t>Os itens deverão ser entregues…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3333"/>
          <w:kern w:val="2"/>
          <w:sz w:val="24"/>
          <w:szCs w:val="24"/>
          <w:u w:val="none"/>
          <w:shd w:fill="FFFFFF" w:val="clear"/>
          <w:lang w:val="pt-BR" w:eastAsia="pt-BR" w:bidi="ar-SA"/>
        </w:rPr>
        <w:t>(informar local com endereço, dias e horário para a entrega)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zxx" w:bidi="ar-SA"/>
        </w:rPr>
        <w:t>.</w:t>
      </w:r>
    </w:p>
    <w:p>
      <w:pPr>
        <w:pStyle w:val="Normal"/>
        <w:spacing w:before="0" w:after="0"/>
        <w:jc w:val="both"/>
        <w:rPr>
          <w:rFonts w:ascii="arial" w:hAnsi="arial" w:eastAsia="Times New Roman" w:cs="Arial"/>
          <w:b w:val="false"/>
          <w:b w:val="false"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shd w:fill="auto" w:val="clear"/>
          <w:lang w:val="zxx" w:eastAsia="zxx" w:bidi="ar-SA"/>
        </w:rPr>
      </w:pPr>
      <w:r>
        <w:rPr>
          <w:rFonts w:eastAsia="Times New Roman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shd w:fill="auto" w:val="clear"/>
          <w:lang w:val="zxx" w:eastAsia="zxx" w:bidi="ar-SA"/>
        </w:rPr>
      </w:r>
    </w:p>
    <w:p>
      <w:pPr>
        <w:pStyle w:val="Normal"/>
        <w:spacing w:before="0" w:after="0"/>
        <w:jc w:val="both"/>
        <w:rPr/>
      </w:pP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zxx" w:bidi="ar-SA"/>
        </w:rPr>
        <w:t>2</w:t>
      </w:r>
      <w:r>
        <w:rPr>
          <w:rStyle w:val="Fontepargpadro"/>
          <w:rFonts w:eastAsia="Times New Roman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zxx" w:eastAsia="zxx" w:bidi="ar-SA"/>
        </w:rPr>
        <w:t>.6.</w:t>
      </w:r>
      <w:r>
        <w:rPr>
          <w:rStyle w:val="Fontepargpadro"/>
          <w:rFonts w:eastAsia="Times New Roman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zxx" w:eastAsia="zxx" w:bidi="ar-SA"/>
        </w:rPr>
        <w:t xml:space="preserve"> </w:t>
      </w:r>
      <w:r>
        <w:rPr>
          <w:rStyle w:val="Fontepargpadro"/>
          <w:rFonts w:eastAsia="Times New Roman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zxx" w:eastAsia="zxx" w:bidi="ar-SA"/>
        </w:rPr>
        <w:t xml:space="preserve">O prazo de entrega dos </w:t>
      </w:r>
      <w:r>
        <w:rPr>
          <w:rStyle w:val="Fontepargpadro"/>
          <w:rFonts w:eastAsia="Times New Roman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zxx" w:eastAsia="zxx" w:bidi="ar-SA"/>
        </w:rPr>
        <w:t>produtos</w:t>
      </w:r>
      <w:r>
        <w:rPr>
          <w:rStyle w:val="Fontepargpadro"/>
          <w:rFonts w:eastAsia="Times New Roman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zxx" w:eastAsia="zxx" w:bidi="ar-SA"/>
        </w:rPr>
        <w:t xml:space="preserve"> deverá ser de </w:t>
      </w:r>
      <w:r>
        <w:rPr>
          <w:rStyle w:val="Fontepargpadro"/>
          <w:rFonts w:eastAsia="Times New Roman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kern w:val="2"/>
          <w:sz w:val="24"/>
          <w:szCs w:val="24"/>
          <w:u w:val="none"/>
          <w:shd w:fill="FFFFFF" w:val="clear"/>
          <w:lang w:val="pt-BR" w:eastAsia="zxx" w:bidi="ar-SA"/>
        </w:rPr>
        <w:t>10 (dez) dias</w:t>
      </w:r>
      <w:r>
        <w:rPr>
          <w:rStyle w:val="Fontepargpadro"/>
          <w:rFonts w:eastAsia="Times New Roman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zxx" w:eastAsia="zxx" w:bidi="ar-SA"/>
        </w:rPr>
        <w:t xml:space="preserve"> </w:t>
      </w:r>
      <w:r>
        <w:rPr>
          <w:rStyle w:val="Fontepargpadro"/>
          <w:rFonts w:eastAsia="Times New Roman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zxx" w:eastAsia="zxx" w:bidi="ar-SA"/>
        </w:rPr>
        <w:t>corridos</w:t>
      </w:r>
      <w:r>
        <w:rPr>
          <w:rStyle w:val="Fontepargpadro"/>
          <w:rFonts w:eastAsia="Times New Roman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zxx" w:eastAsia="zxx" w:bidi="ar-SA"/>
        </w:rPr>
        <w:t xml:space="preserve"> contados da emissão da Ordem de Compra, da Autorização de Fornecimento ou de outro instrumento similar, que será enviado por e-mail pelo órgão participante. </w:t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Times New Roman" w:cs="Arial"/>
          <w:b w:val="false"/>
          <w:b w:val="false"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zxx" w:eastAsia="zxx" w:bidi="ar-SA"/>
        </w:rPr>
      </w:pPr>
      <w:r>
        <w:rPr>
          <w:rFonts w:eastAsia="Times New Roman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zxx" w:eastAsia="zxx" w:bidi="ar-SA"/>
        </w:rPr>
      </w:r>
    </w:p>
    <w:p>
      <w:pPr>
        <w:pStyle w:val="Normal"/>
        <w:spacing w:before="0" w:after="0"/>
        <w:jc w:val="both"/>
        <w:rPr>
          <w:rFonts w:ascii="Arial" w:hAnsi="Arial" w:eastAsia="Arial Unicode MS" w:cs="Arial"/>
          <w:color w:val="000000"/>
          <w:sz w:val="24"/>
          <w:szCs w:val="24"/>
          <w:shd w:fill="FFFFFF" w:val="clear"/>
        </w:rPr>
      </w:pPr>
      <w:r>
        <w:rPr>
          <w:rStyle w:val="Fontepargpadro"/>
          <w:rFonts w:eastAsia="Times New Roman" w:cs="Arial" w:ascii="Arial" w:hAnsi="Arial"/>
          <w:color w:val="000000"/>
          <w:sz w:val="24"/>
          <w:szCs w:val="24"/>
          <w:shd w:fill="auto" w:val="clear"/>
        </w:rPr>
        <w:t xml:space="preserve">2.7. </w:t>
      </w:r>
      <w:r>
        <w:rPr>
          <w:rStyle w:val="Teletipo"/>
          <w:rFonts w:eastAsia="Times New Roman" w:cs="Times New Roman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pt-BR" w:eastAsia="pt-BR" w:bidi="ar-SA"/>
        </w:rPr>
        <w:t xml:space="preserve">Os insumos deverão ser entregues em embalagens originais contendo a data e o n.º do lote de fabricação, prazo de validade para uso dos mesmos e outras informações de acordo com a legislação pertinente. </w:t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highlight w:val="white"/>
          <w:u w:val="none"/>
          <w:lang w:val="pt-BR" w:eastAsia="zh-CN" w:bidi="ar-SA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highlight w:val="white"/>
          <w:u w:val="none"/>
          <w:lang w:val="pt-BR" w:eastAsia="zh-CN" w:bidi="ar-SA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Arial Unicode MS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zxx" w:eastAsia="zxx" w:bidi="zxx"/>
        </w:rPr>
        <w:t>2.</w:t>
      </w:r>
      <w:r>
        <w:rPr>
          <w:rStyle w:val="Fontepargpadro"/>
          <w:rFonts w:eastAsia="Arial Unicode MS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zxx" w:eastAsia="zxx" w:bidi="zxx"/>
        </w:rPr>
        <w:t>8</w:t>
      </w:r>
      <w:r>
        <w:rPr>
          <w:rStyle w:val="Fontepargpadro"/>
          <w:rFonts w:eastAsia="Arial Unicode MS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zxx" w:eastAsia="zxx" w:bidi="zxx"/>
        </w:rPr>
        <w:t xml:space="preserve">. 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FFFFFF" w:val="clear"/>
          <w:lang w:val="zxx" w:eastAsia="pt-BR" w:bidi="zxx"/>
        </w:rPr>
        <w:t xml:space="preserve">Todos os produtos deverão ter prazo de validade mínima de </w:t>
      </w:r>
      <w:r>
        <w:rPr>
          <w:rStyle w:val="Fontepargpadro"/>
          <w:rFonts w:eastAsia="Times New Roman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FFFFFF" w:val="clear"/>
          <w:lang w:val="pt-BR" w:eastAsia="pt-BR" w:bidi="ar-SA"/>
        </w:rPr>
        <w:t>12 (doze) meses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FFFFFF" w:val="clear"/>
          <w:lang w:val="zxx" w:eastAsia="pt-BR" w:bidi="zxx"/>
        </w:rPr>
        <w:t xml:space="preserve">, contados da data 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FFFFFF" w:val="clear"/>
          <w:lang w:val="pt-BR" w:eastAsia="pt-BR" w:bidi="ar-SA"/>
        </w:rPr>
        <w:t>da entrega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FFFFFF" w:val="clear"/>
          <w:lang w:val="zxx" w:eastAsia="pt-BR" w:bidi="zxx"/>
        </w:rPr>
        <w:t>, aqueles cuja validade seja inferior, devendo neste caso, ter o prazo informado na proposta.</w:t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Times New Roman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highlight w:val="white"/>
          <w:u w:val="none"/>
          <w:lang w:val="pt-BR" w:eastAsia="pt-BR" w:bidi="ar-SA"/>
        </w:rPr>
      </w:pPr>
      <w:r>
        <w:rPr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highlight w:val="white"/>
          <w:u w:val="none"/>
          <w:lang w:val="pt-BR" w:eastAsia="pt-BR" w:bidi="ar-SA"/>
        </w:rPr>
      </w:r>
    </w:p>
    <w:p>
      <w:pPr>
        <w:pStyle w:val="Normal"/>
        <w:spacing w:before="0" w:after="0"/>
        <w:jc w:val="both"/>
        <w:rPr>
          <w:rFonts w:ascii="Arial" w:hAnsi="Arial" w:eastAsia="Arial Unicode MS" w:cs="Arial"/>
          <w:color w:val="000000"/>
          <w:sz w:val="24"/>
          <w:szCs w:val="24"/>
          <w:shd w:fill="FFFFFF" w:val="clear"/>
        </w:rPr>
      </w:pP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FFFFFF" w:val="clear"/>
          <w:lang w:val="pt-BR" w:eastAsia="pt-BR" w:bidi="ar-SA"/>
        </w:rPr>
        <w:t>2.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FFFFFF" w:val="clear"/>
          <w:lang w:val="pt-BR" w:eastAsia="pt-BR" w:bidi="ar-SA"/>
        </w:rPr>
        <w:t>9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FFFFFF" w:val="clear"/>
          <w:lang w:val="pt-BR" w:eastAsia="pt-BR" w:bidi="ar-SA"/>
        </w:rPr>
        <w:t>. A contratada deverá, obrigatoriamente, fornecer os itens em estrita observância às especificações contidas no Termo de Referência e normas da Vigilância Sanitária.</w:t>
      </w:r>
    </w:p>
    <w:p>
      <w:pPr>
        <w:pStyle w:val="Normal"/>
        <w:spacing w:before="0" w:after="0"/>
        <w:jc w:val="both"/>
        <w:rPr>
          <w:rFonts w:ascii="Arial" w:hAnsi="Arial" w:eastAsia="Arial Unicode MS" w:cs="Arial"/>
          <w:color w:val="000000"/>
          <w:sz w:val="24"/>
          <w:szCs w:val="24"/>
          <w:shd w:fill="FFFFFF" w:val="clear"/>
        </w:rPr>
      </w:pPr>
      <w:r>
        <w:rPr/>
      </w:r>
    </w:p>
    <w:p>
      <w:pPr>
        <w:pStyle w:val="Normal"/>
        <w:spacing w:before="0" w:after="0"/>
        <w:jc w:val="both"/>
        <w:rPr>
          <w:rFonts w:ascii="Arial" w:hAnsi="Arial" w:eastAsia="Arial Unicode MS" w:cs="Arial"/>
          <w:color w:val="000000"/>
          <w:sz w:val="24"/>
          <w:szCs w:val="24"/>
          <w:shd w:fill="FFFFFF" w:val="clear"/>
        </w:rPr>
      </w:pP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auto" w:val="clear"/>
          <w:lang w:val="pt-BR" w:eastAsia="pt-BR" w:bidi="ar-SA"/>
        </w:rPr>
        <w:t>2.10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auto" w:val="clear"/>
          <w:lang w:val="pt-BR" w:eastAsia="pt-BR" w:bidi="ar-SA"/>
        </w:rPr>
        <w:t xml:space="preserve">. 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ar-SA"/>
        </w:rPr>
        <w:t>Para os itens de 1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pt-BR" w:eastAsia="pt-BR" w:bidi="ar-SA"/>
        </w:rPr>
        <w:t>2 a 17</w:t>
      </w:r>
      <w:r>
        <w:rPr>
          <w:rStyle w:val="Fontepargpadro"/>
          <w:rFonts w:eastAsia="Arial Unicode MS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pt-BR" w:eastAsia="pt-BR" w:bidi="ar-SA"/>
        </w:rPr>
        <w:t xml:space="preserve">, a licitante 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pt-BR" w:eastAsia="pt-BR" w:bidi="ar-SA"/>
        </w:rPr>
        <w:t xml:space="preserve">vencedora deverá fornecer, em regime de comodato, </w:t>
      </w:r>
      <w:r>
        <w:rPr>
          <w:rStyle w:val="Fontepargpadro"/>
          <w:rFonts w:eastAsia="Arial Unicode MS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pt-BR" w:eastAsia="pt-BR" w:bidi="ar-SA"/>
        </w:rPr>
        <w:t>06 (seis) bombas de infusão para cada item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pt-BR" w:eastAsia="pt-BR" w:bidi="ar-SA"/>
        </w:rPr>
        <w:t>, para a administração das dietas.</w:t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Arial Unicode MS" w:cs="Arial"/>
          <w:b w:val="false"/>
          <w:b w:val="false"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highlight w:val="white"/>
          <w:u w:val="none"/>
          <w:lang w:val="pt-BR" w:eastAsia="pt-BR" w:bidi="ar-SA"/>
        </w:rPr>
      </w:pPr>
      <w:r>
        <w:rPr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highlight w:val="white"/>
          <w:u w:val="none"/>
          <w:lang w:val="pt-BR" w:eastAsia="pt-BR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pt-BR" w:eastAsia="pt-BR" w:bidi="ar-SA"/>
        </w:rPr>
        <w:tab/>
        <w:t>2.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ar-SA"/>
        </w:rPr>
        <w:t>7.1. P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ar-SA"/>
        </w:rPr>
        <w:t>oderá ser solicitado bombas adicionais, caso haja necessidade pel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ar-SA"/>
        </w:rPr>
        <w:t>o órgão e deverá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ar-SA"/>
        </w:rPr>
        <w:t xml:space="preserve"> ser e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FFFFFF" w:val="clear"/>
          <w:lang w:val="pt-BR" w:eastAsia="pt-BR" w:bidi="ar-SA"/>
        </w:rPr>
        <w:t>ntregue em, no máximo, 05 (ci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ar-SA"/>
        </w:rPr>
        <w:t xml:space="preserve">nco) dias 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ar-SA"/>
        </w:rPr>
        <w:t>corri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ar-SA"/>
        </w:rPr>
        <w:t>dos.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Times New Roman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highlight w:val="none"/>
          <w:u w:val="none"/>
          <w:shd w:fill="auto" w:val="clear"/>
          <w:lang w:val="pt-BR" w:eastAsia="pt-BR" w:bidi="ar-SA"/>
        </w:rPr>
      </w:pPr>
      <w:r>
        <w:rPr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highlight w:val="white"/>
          <w:u w:val="none"/>
          <w:lang w:val="pt-BR" w:eastAsia="pt-BR" w:bidi="ar-SA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auto" w:val="clear"/>
          <w:lang w:val="pt-BR" w:eastAsia="pt-BR" w:bidi="ar-SA"/>
        </w:rPr>
        <w:t xml:space="preserve">2.8. 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>Para os itens de 1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>2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 xml:space="preserve"> a 1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>7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 xml:space="preserve">, a contratada deverá enviar </w:t>
      </w:r>
      <w:r>
        <w:rPr>
          <w:rStyle w:val="Fontepargpadro"/>
          <w:rFonts w:eastAsia="Arial Unicode MS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>01 (um) equipo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 xml:space="preserve"> </w:t>
      </w:r>
      <w:r>
        <w:rPr>
          <w:rStyle w:val="Fontepargpadro"/>
          <w:rFonts w:eastAsia="Arial Unicode MS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 xml:space="preserve">compatível com as bombas e dietas </w:t>
      </w:r>
      <w:r>
        <w:rPr>
          <w:rStyle w:val="Fontepargpadro"/>
          <w:rFonts w:eastAsia="Arial Unicode MS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>ofertadas,</w:t>
      </w:r>
      <w:r>
        <w:rPr>
          <w:rStyle w:val="Fontepargpadro"/>
          <w:rFonts w:eastAsia="Arial Unicode MS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 xml:space="preserve"> 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 xml:space="preserve">como bonificação. E, havendo a necessidade, a empresa deverá enviar </w:t>
      </w:r>
      <w:r>
        <w:rPr>
          <w:rStyle w:val="Fontepargpadro"/>
          <w:rFonts w:eastAsia="Arial Unicode MS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>equipo com conector em “T”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 xml:space="preserve">, </w:t>
      </w:r>
      <w:r>
        <w:rPr>
          <w:rStyle w:val="Fontepargpadro"/>
          <w:rFonts w:eastAsia="Arial Unicode MS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 xml:space="preserve">compatível com as bombas e dietas 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>para limpeza de sonda e administração de medic</w:t>
      </w:r>
      <w:r>
        <w:rPr>
          <w:rStyle w:val="Fontepargpadro"/>
          <w:rFonts w:eastAsia="Arial Unicode MS" w:cs="Arial" w:ascii="arial" w:hAnsi="arial"/>
          <w:b w:val="false"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  <w:lang w:val="pt-BR" w:eastAsia="pt-BR" w:bidi="zxx"/>
        </w:rPr>
        <w:t>amentos.</w:t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>
          <w:rFonts w:ascii="Arial" w:hAnsi="Arial" w:eastAsia="Times New Roman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highlight w:val="none"/>
          <w:u w:val="none"/>
          <w:shd w:fill="auto" w:val="clear"/>
          <w:lang w:val="pt-BR" w:eastAsia="pt-BR" w:bidi="ar-SA"/>
        </w:rPr>
      </w:pPr>
      <w:r>
        <w:rPr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auto" w:val="clear"/>
          <w:lang w:val="pt-BR" w:eastAsia="pt-BR" w:bidi="ar-SA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auto" w:val="clear"/>
          <w:lang w:val="pt-BR" w:eastAsia="pt-BR" w:bidi="ar-SA"/>
        </w:rPr>
        <w:t xml:space="preserve">2.9. 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auto" w:val="clear"/>
          <w:lang w:val="pt-BR" w:eastAsia="pt-BR" w:bidi="ar-SA"/>
        </w:rPr>
        <w:t>A empresa contratada deverá p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auto" w:val="clear"/>
          <w:lang w:val="pt-BR" w:eastAsia="zxx" w:bidi="ar-SA"/>
        </w:rPr>
        <w:t>roceder o transporte e descarga dos insumos,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FFFFFF" w:val="clear"/>
          <w:lang w:val="pt-BR" w:eastAsia="zxx" w:bidi="ar-SA"/>
        </w:rPr>
        <w:t xml:space="preserve"> em estrita observância às normas pertinentes, bem como, acondicionando em recipiente adequado, visando manter inalterada a sua integridade, respeitando as normas vigentes.</w:t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Times New Roman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highlight w:val="white"/>
          <w:u w:val="none"/>
          <w:lang w:val="pt-BR" w:eastAsia="zxx" w:bidi="ar-SA"/>
        </w:rPr>
      </w:pPr>
      <w:r>
        <w:rPr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highlight w:val="white"/>
          <w:u w:val="none"/>
          <w:lang w:val="pt-BR" w:eastAsia="zxx" w:bidi="ar-SA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FFFFFF" w:val="clear"/>
          <w:lang w:val="pt-BR" w:eastAsia="zxx" w:bidi="ar-SA"/>
        </w:rPr>
        <w:t xml:space="preserve">2.10. </w:t>
      </w:r>
      <w:r>
        <w:rPr>
          <w:rStyle w:val="Fontepargpadro"/>
          <w:rFonts w:eastAsia="Times New Roman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z w:val="24"/>
          <w:szCs w:val="24"/>
          <w:u w:val="none"/>
          <w:shd w:fill="FFFFFF" w:val="clear"/>
          <w:lang w:val="pt-BR" w:eastAsia="pt-BR" w:bidi="ar-SA"/>
        </w:rPr>
        <w:t>A empresa contratada deverá arcar com todas as despesas necessárias ao fornecimento, inclusive transporte, carga, descarga e impostos, inerentes à comercialização.</w:t>
      </w:r>
    </w:p>
    <w:p>
      <w:pPr>
        <w:pStyle w:val="Normal"/>
        <w:spacing w:before="0" w:after="0"/>
        <w:jc w:val="both"/>
        <w:rPr>
          <w:rFonts w:ascii="Arial" w:hAnsi="Arial" w:eastAsia="Arial Unicode MS" w:cs="Arial"/>
          <w:color w:val="000000"/>
          <w:sz w:val="24"/>
          <w:szCs w:val="24"/>
          <w:shd w:fill="FFFFFF" w:val="clear"/>
        </w:rPr>
      </w:pPr>
      <w:r>
        <w:rPr>
          <w:rFonts w:eastAsia="Times New Roman" w:cs="Arial" w:ascii="arial" w:hAnsi="arial"/>
          <w:color w:val="000000"/>
          <w:sz w:val="24"/>
          <w:szCs w:val="24"/>
          <w:shd w:fill="FFFFFF" w:val="clear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Calibri" w:cs="arial" w:ascii="Arial" w:hAnsi="Arial"/>
          <w:b/>
          <w:bCs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3. ADEQUAÇÃO ORÇAMENTÁRIA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Style w:val="Fontepargpadro"/>
          <w:rFonts w:eastAsia="Calibri"/>
          <w:i w:val="false"/>
          <w:i w:val="false"/>
          <w:iCs w:val="false"/>
          <w:lang w:val="pt-BR" w:eastAsia="zh-CN" w:bidi="ar-SA"/>
        </w:rPr>
      </w:pPr>
      <w:r>
        <w:rPr>
          <w:rFonts w:eastAsia="Calibri"/>
          <w:i w:val="false"/>
          <w:iCs w:val="false"/>
          <w:lang w:val="pt-BR" w:eastAsia="zh-CN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Calibri" w:cs="arial" w:ascii="Arial" w:hAnsi="Arial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3.1. As despesas decorrentes da presente contratação correrão à conta de recursos específicos consignados na Lei Orçamentária Anual.</w:t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Calibri" w:cs="arial"/>
          <w:i w:val="false"/>
          <w:i w:val="false"/>
          <w:iCs w:val="false"/>
          <w:color w:val="000000"/>
          <w:sz w:val="24"/>
          <w:szCs w:val="24"/>
          <w:lang w:val="pt-BR" w:eastAsia="zh-CN" w:bidi="ar-SA"/>
        </w:rPr>
      </w:pPr>
      <w:r>
        <w:rPr>
          <w:rFonts w:eastAsia="Calibri" w:cs="arial" w:ascii="Arial" w:hAnsi="Arial"/>
          <w:i w:val="false"/>
          <w:iCs w:val="false"/>
          <w:color w:val="000000"/>
          <w:sz w:val="24"/>
          <w:szCs w:val="24"/>
          <w:lang w:val="pt-BR" w:eastAsia="zh-CN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/>
      </w:pPr>
      <w:r>
        <w:rPr>
          <w:rStyle w:val="Fontepargpadro"/>
          <w:rFonts w:eastAsia="Calibri" w:cs="arial" w:ascii="Arial" w:hAnsi="Arial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3.2. A contratação será atendida pela seguinte dotação: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Style w:val="Fontepargpadro"/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Style w:val="Fontepargpadro"/>
          <w:rFonts w:eastAsia="Calibri" w:cs="arial" w:ascii="Arial" w:hAnsi="Arial"/>
          <w:b/>
          <w:i w:val="false"/>
          <w:iCs w:val="false"/>
          <w:color w:val="FF3333"/>
          <w:sz w:val="24"/>
          <w:szCs w:val="24"/>
          <w:shd w:fill="FFFFFF" w:val="clear"/>
          <w:lang w:val="pt-BR" w:eastAsia="zh-CN" w:bidi="ar-SA"/>
        </w:rPr>
        <w:t>Informar a dotação orçamentária disponível para a aquisição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Style w:val="Fontepargpadro"/>
          <w:rFonts w:ascii="Arial" w:hAnsi="Arial" w:eastAsia="Calibri" w:cs="arial"/>
          <w:b/>
          <w:b/>
          <w:i w:val="false"/>
          <w:i w:val="false"/>
          <w:iCs w:val="false"/>
          <w:color w:val="000000"/>
          <w:sz w:val="12"/>
          <w:szCs w:val="12"/>
          <w:highlight w:val="white"/>
          <w:lang w:val="pt-BR" w:eastAsia="zh-CN" w:bidi="ar-SA"/>
        </w:rPr>
      </w:pPr>
      <w:r>
        <w:rPr>
          <w:rFonts w:eastAsia="Calibri" w:cs="arial" w:ascii="Arial" w:hAnsi="Arial"/>
          <w:b/>
          <w:i w:val="false"/>
          <w:iCs w:val="false"/>
          <w:color w:val="000000"/>
          <w:sz w:val="12"/>
          <w:szCs w:val="12"/>
          <w:highlight w:val="white"/>
          <w:lang w:val="pt-BR" w:eastAsia="zh-CN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Calibri" w:cs="arial" w:ascii="Arial" w:hAnsi="Arial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ab/>
      </w:r>
      <w:r>
        <w:rPr>
          <w:rStyle w:val="Fontepargpadro"/>
          <w:rFonts w:eastAsia="Calibri" w:cs="arial" w:ascii="Arial" w:hAnsi="Arial"/>
          <w:b/>
          <w:bCs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Obs.:</w:t>
      </w:r>
      <w:r>
        <w:rPr>
          <w:rStyle w:val="Fontepargpadro"/>
          <w:rFonts w:eastAsia="Calibri" w:cs="arial" w:ascii="Arial" w:hAnsi="Arial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 xml:space="preserve"> Deverá ser encaminhado o Documento de Disponibilidade Orçamentária devidamente assinado.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Style w:val="Fontepargpadro"/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Calibri" w:cs="arial" w:ascii="Arial" w:hAnsi="Arial"/>
          <w:b/>
          <w:bCs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4. GESTÃO E FISCALIZAÇÃO CONTRATUAL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Calibri" w:cs="arial"/>
          <w:b/>
          <w:b/>
          <w:bCs/>
          <w:i w:val="false"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</w:pPr>
      <w:r>
        <w:rPr>
          <w:rFonts w:eastAsia="Calibri" w:cs="arial" w:ascii="Arial" w:hAnsi="Arial"/>
          <w:b/>
          <w:bCs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4.1. A gestão da contratação será efetuada pelo(a) Sr(a) …. , bem como a fiscalização técnica será realizada pelo(a) Sr(a). …., nomeados pela Portaria nº …/202 .</w:t>
      </w: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FF0000"/>
          <w:sz w:val="24"/>
          <w:szCs w:val="24"/>
          <w:shd w:fill="FFFFFF" w:val="clear"/>
          <w:lang w:val="pt-BR" w:eastAsia="zh-CN" w:bidi="ar-SA"/>
        </w:rPr>
        <w:t xml:space="preserve"> (informar os nomes e portaria de nomeação).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Calibri" w:cs="arial"/>
          <w:i w:val="false"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</w:pPr>
      <w:r>
        <w:rPr>
          <w:rFonts w:eastAsia="Calibri" w:cs="arial" w:ascii="Arial" w:hAnsi="Arial"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Calibri" w:cs="arial" w:ascii="Arial" w:hAnsi="Arial"/>
          <w:b/>
          <w:bCs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5. CONDIÇÕES DE PAGAMENTO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Calibri" w:cs="arial"/>
          <w:b/>
          <w:b/>
          <w:bCs/>
          <w:i w:val="false"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</w:pPr>
      <w:r>
        <w:rPr>
          <w:rFonts w:eastAsia="Calibri" w:cs="arial" w:ascii="Arial" w:hAnsi="Arial"/>
          <w:b/>
          <w:bCs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 xml:space="preserve">5.1. Os pagamentos serão efetuados conforme … </w:t>
      </w: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FF3333"/>
          <w:sz w:val="24"/>
          <w:szCs w:val="24"/>
          <w:shd w:fill="FFFFFF" w:val="clear"/>
          <w:lang w:val="pt-BR" w:eastAsia="zh-CN" w:bidi="ar-SA"/>
        </w:rPr>
        <w:t>(inserir condições de pagamento do Órgão).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Style w:val="Fontepargpadro"/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color w:val="FF3333"/>
          <w:sz w:val="24"/>
          <w:szCs w:val="24"/>
          <w:highlight w:val="white"/>
          <w:lang w:val="pt-BR" w:eastAsia="zh-CN" w:bidi="ar-SA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color w:val="FF3333"/>
          <w:sz w:val="24"/>
          <w:szCs w:val="24"/>
          <w:highlight w:val="white"/>
          <w:lang w:val="pt-BR" w:eastAsia="zh-CN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5.2. Será considerada data do pagamento o dia em que constar depósito bancário para pagamento.</w:t>
      </w:r>
    </w:p>
    <w:p>
      <w:pPr>
        <w:pStyle w:val="ListParagraph"/>
        <w:bidi w:val="0"/>
        <w:spacing w:lineRule="auto" w:line="240" w:before="0" w:after="0"/>
        <w:ind w:left="0" w:right="0" w:hanging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5.3. O pagamento será efetuado com as devidas retenções tributárias previstas em legislação vigente.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Style w:val="Fontepargpadro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Style w:val="Fontepargpadro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Calibri" w:cs="arial" w:ascii="Arial" w:hAnsi="Arial"/>
          <w:b/>
          <w:bCs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6.  DISPOSIÇÕES FINAIS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Style w:val="Fontepargpadro"/>
          <w:sz w:val="14"/>
          <w:szCs w:val="14"/>
        </w:rPr>
      </w:pPr>
      <w:r>
        <w:rPr>
          <w:sz w:val="14"/>
          <w:szCs w:val="14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6.1. O presente Órgão declara estar ciente e de acordo com as condições estabelecidas pela Fundação Hospitalar do Município de Varginha, no que tange a escolha da solução para a presente contratação, as condições elencadas no Termo de Referência e demais documentos relacionados à presente Intenção de Registro de Preços.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Style w:val="Fontepargpadro"/>
          <w:rFonts w:eastAsia="Calibri"/>
          <w:b w:val="false"/>
          <w:b w:val="false"/>
          <w:bCs w:val="false"/>
          <w:i w:val="false"/>
          <w:i w:val="false"/>
          <w:iCs w:val="false"/>
          <w:lang w:val="pt-BR" w:eastAsia="zh-CN" w:bidi="ar-SA"/>
        </w:rPr>
      </w:pPr>
      <w:r>
        <w:rPr>
          <w:rFonts w:eastAsia="Calibri"/>
          <w:b w:val="false"/>
          <w:bCs w:val="false"/>
          <w:i w:val="false"/>
          <w:iCs w:val="false"/>
          <w:lang w:val="pt-BR" w:eastAsia="zh-CN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 xml:space="preserve">6.2. O Órgão declara estar ciente das responsabilidades do ente participante, elencadas na Lei nº 14.133/21, </w:t>
      </w:r>
      <w:bookmarkStart w:id="1" w:name="__DdeLink__49230_2999242570"/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Decreto Municipal nº 11.595/23</w:t>
      </w:r>
      <w:bookmarkEnd w:id="1"/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 xml:space="preserve"> e Decreto Municipal nº 11.598/23.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Style w:val="Fontepargpadro"/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Style w:val="Fontepargpadro"/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Style w:val="Fontepargpadro"/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 xml:space="preserve">Varginha, </w:t>
      </w: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FF3333"/>
          <w:sz w:val="24"/>
          <w:szCs w:val="24"/>
          <w:shd w:fill="FFFFFF" w:val="clear"/>
          <w:lang w:val="pt-BR" w:eastAsia="zh-CN" w:bidi="ar-SA"/>
        </w:rPr>
        <w:t>xx</w:t>
      </w: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 xml:space="preserve"> de </w:t>
      </w: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FF3333"/>
          <w:kern w:val="0"/>
          <w:sz w:val="24"/>
          <w:szCs w:val="24"/>
          <w:shd w:fill="FFFFFF" w:val="clear"/>
          <w:lang w:val="pt-BR" w:eastAsia="zh-CN" w:bidi="ar-SA"/>
        </w:rPr>
        <w:t>xxxxx</w:t>
      </w: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 xml:space="preserve"> de 2026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>Nome e assinatura do responsável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highlight w:val="white"/>
          <w:lang w:val="pt-BR" w:eastAsia="zh-CN" w:bidi="ar-SA"/>
        </w:rPr>
        <w:t>Cargo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Style w:val="Fontepargpadro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val="pt-BR" w:eastAsia="zh-CN" w:bidi="ar-SA"/>
        </w:rPr>
        <w:t xml:space="preserve">Órgão </w:t>
      </w:r>
    </w:p>
    <w:sectPr>
      <w:headerReference w:type="default" r:id="rId2"/>
      <w:footerReference w:type="default" r:id="rId3"/>
      <w:type w:val="nextPage"/>
      <w:pgSz w:w="11906" w:h="16838"/>
      <w:pgMar w:left="1701" w:right="1134" w:gutter="0" w:header="0" w:top="1531" w:footer="283" w:bottom="137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DejaVu Sans Mono">
    <w:altName w:val="Yu Gothic"/>
    <w:charset w:val="01"/>
    <w:family w:val="roman"/>
    <w:pitch w:val="variable"/>
  </w:font>
  <w:font w:name="Aria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jc w:val="center"/>
      <w:rPr>
        <w:rFonts w:ascii="Arial" w:hAnsi="Arial"/>
      </w:rPr>
    </w:pPr>
    <w:r>
      <w:rPr>
        <w:rFonts w:ascii="Arial" w:hAnsi="Arial"/>
      </w:rPr>
      <w:t>_______________________________________________________________________</w:t>
    </w:r>
  </w:p>
  <w:p>
    <w:pPr>
      <w:pStyle w:val="Rodap"/>
      <w:jc w:val="center"/>
      <w:rPr>
        <w:rFonts w:ascii="Arial" w:hAnsi="Arial"/>
      </w:rPr>
    </w:pPr>
    <w:r>
      <w:rPr>
        <w:rFonts w:ascii="Arial" w:hAnsi="Arial"/>
      </w:rPr>
      <w:t>Rua Presidente Tancredo Neves, 500 – Bom Pastor – Varginha MG – 37.014-460</w:t>
    </w:r>
  </w:p>
  <w:p>
    <w:pPr>
      <w:pStyle w:val="Rodap"/>
      <w:jc w:val="center"/>
      <w:rPr>
        <w:rFonts w:ascii="Arial" w:hAnsi="Arial"/>
      </w:rPr>
    </w:pPr>
    <w:r>
      <w:rPr>
        <w:rFonts w:ascii="Arial" w:hAnsi="Arial"/>
      </w:rPr>
      <w:t>CNPJ 19.110.162/0001-00 – Inscrição Estadual Isento – 35 3606.3591/3592/3593/3594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tabs>
        <w:tab w:val="left" w:pos="2031" w:leader="none"/>
        <w:tab w:val="center" w:pos="4252" w:leader="none"/>
        <w:tab w:val="right" w:pos="8504" w:leader="none"/>
      </w:tabs>
      <w:ind w:left="0" w:right="0" w:hanging="1134"/>
      <w:rPr/>
    </w:pPr>
    <w:r>
      <w:rPr/>
      <w:drawing>
        <wp:inline distT="0" distB="0" distL="0" distR="0">
          <wp:extent cx="7229475" cy="1365250"/>
          <wp:effectExtent l="0" t="0" r="0" b="0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47" t="-1763" r="-347" b="-1763"/>
                  <a:stretch>
                    <a:fillRect/>
                  </a:stretch>
                </pic:blipFill>
                <pic:spPr bwMode="auto">
                  <a:xfrm>
                    <a:off x="0" y="0"/>
                    <a:ext cx="7229475" cy="1365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w:drawing>
        <wp:anchor behindDoc="1" distT="0" distB="0" distL="0" distR="0" simplePos="0" locked="0" layoutInCell="0" allowOverlap="1" relativeHeight="4">
          <wp:simplePos x="0" y="0"/>
          <wp:positionH relativeFrom="column">
            <wp:align>center</wp:align>
          </wp:positionH>
          <wp:positionV relativeFrom="margin">
            <wp:align>center</wp:align>
          </wp:positionV>
          <wp:extent cx="3201670" cy="3201670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779" t="-779" r="-779" b="-779"/>
                  <a:stretch>
                    <a:fillRect/>
                  </a:stretch>
                </pic:blipFill>
                <pic:spPr bwMode="auto">
                  <a:xfrm>
                    <a:off x="0" y="0"/>
                    <a:ext cx="3201670" cy="3201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;Calibri"/>
      <w:color w:val="00000A"/>
      <w:kern w:val="0"/>
      <w:sz w:val="22"/>
      <w:szCs w:val="22"/>
      <w:lang w:val="pt-BR" w:eastAsia="zh-CN" w:bidi="ar-SA"/>
    </w:rPr>
  </w:style>
  <w:style w:type="paragraph" w:styleId="Ttulo6">
    <w:name w:val="Heading 6"/>
    <w:basedOn w:val="Normal"/>
    <w:next w:val="Normal"/>
    <w:qFormat/>
    <w:pPr>
      <w:keepNext w:val="true"/>
      <w:ind w:left="0" w:right="0" w:hanging="0"/>
      <w:jc w:val="center"/>
      <w:outlineLvl w:val="5"/>
    </w:pPr>
    <w:rPr>
      <w:b/>
      <w:sz w:val="2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Fontepargpadro">
    <w:name w:val="Fonte parág. padrão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TextodebaloChar">
    <w:name w:val="Texto de balão Char"/>
    <w:qFormat/>
    <w:rPr>
      <w:rFonts w:ascii="Tahoma" w:hAnsi="Tahoma" w:cs="Tahoma"/>
      <w:sz w:val="16"/>
      <w:szCs w:val="16"/>
    </w:rPr>
  </w:style>
  <w:style w:type="character" w:styleId="WWFontepargpadro1111">
    <w:name w:val="WW-Fonte parág. padrão1111"/>
    <w:qFormat/>
    <w:rPr/>
  </w:style>
  <w:style w:type="character" w:styleId="LinkdaInternet">
    <w:name w:val="Hyperlink"/>
    <w:basedOn w:val="WWFontepargpadro1111"/>
    <w:rPr>
      <w:color w:val="0000FF"/>
      <w:u w:val="single"/>
    </w:rPr>
  </w:style>
  <w:style w:type="character" w:styleId="Teletipo">
    <w:name w:val="Teletipo"/>
    <w:qFormat/>
    <w:rPr>
      <w:rFonts w:ascii="DejaVu Sans Mono;Yu Gothic" w:hAnsi="DejaVu Sans Mono;Yu Gothic" w:eastAsia="DejaVu Sans Mono;Yu Gothic" w:cs="DejaVu Sans Mono;Yu Gothic"/>
    </w:rPr>
  </w:style>
  <w:style w:type="character" w:styleId="WW8Num5z0">
    <w:name w:val="WW8Num5z0"/>
    <w:qFormat/>
    <w:rPr>
      <w:rFonts w:ascii="Arial" w:hAnsi="Arial" w:cs="Arial"/>
    </w:rPr>
  </w:style>
  <w:style w:type="character" w:styleId="WW8Num6z0">
    <w:name w:val="WW8Num6z0"/>
    <w:qFormat/>
    <w:rPr>
      <w:rFonts w:ascii="Arial" w:hAnsi="Arial" w:cs="Arial"/>
      <w:b w:val="false"/>
      <w:bCs w:val="false"/>
      <w:i w:val="false"/>
      <w:iCs w:val="false"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DejaVu Sans" w:cs="DejaVu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FreeSans;Calib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;Calib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FreeSans;Calibri"/>
    </w:rPr>
  </w:style>
  <w:style w:type="paragraph" w:styleId="Ttulo1">
    <w:name w:val="Título1"/>
    <w:basedOn w:val="Normal"/>
    <w:qFormat/>
    <w:pPr>
      <w:keepNext w:val="true"/>
      <w:spacing w:before="240" w:after="120"/>
    </w:pPr>
    <w:rPr>
      <w:rFonts w:ascii="Liberation Sans;Arial" w:hAnsi="Liberation Sans;Arial" w:eastAsia="DejaVu Sans" w:cs="FreeSans;Calibri"/>
      <w:sz w:val="28"/>
      <w:szCs w:val="2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pPr>
      <w:tabs>
        <w:tab w:val="clear" w:pos="4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pPr>
      <w:tabs>
        <w:tab w:val="clear" w:pos="4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uppressAutoHyphens w:val="true"/>
      <w:ind w:left="720" w:right="0" w:hanging="0"/>
    </w:pPr>
    <w:rPr/>
  </w:style>
  <w:style w:type="paragraph" w:styleId="LONormal">
    <w:name w:val="LO-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DejaVu Sans"/>
      <w:color w:val="auto"/>
      <w:kern w:val="0"/>
      <w:sz w:val="20"/>
      <w:szCs w:val="22"/>
      <w:lang w:val="pt-BR" w:eastAsia="en-US" w:bidi="ar-SA"/>
    </w:rPr>
  </w:style>
  <w:style w:type="paragraph" w:styleId="PargrafodaLista">
    <w:name w:val="Parágrafo da Lista"/>
    <w:basedOn w:val="Normal"/>
    <w:qFormat/>
    <w:pPr>
      <w:suppressAutoHyphens w:val="true"/>
      <w:ind w:left="720" w:right="0" w:hanging="0"/>
    </w:pPr>
    <w:rPr/>
  </w:style>
  <w:style w:type="paragraph" w:styleId="Corpodotextorecuado">
    <w:name w:val="Body Text Indent"/>
    <w:basedOn w:val="Normal"/>
    <w:pPr>
      <w:ind w:left="0" w:right="0" w:firstLine="567"/>
      <w:jc w:val="both"/>
    </w:pPr>
    <w:rPr>
      <w:sz w:val="24"/>
    </w:rPr>
  </w:style>
  <w:style w:type="numbering" w:styleId="WW8Num1">
    <w:name w:val="WW8Num1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3006</TotalTime>
  <Application>LibreOffice/7.4.7.2$Linux_X86_64 LibreOffice_project/40$Build-2</Application>
  <AppVersion>15.0000</AppVersion>
  <Pages>3</Pages>
  <Words>782</Words>
  <Characters>4448</Characters>
  <CharactersWithSpaces>5190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2021-11-09T13:22:00Z</dcterms:created>
  <dc:creator>Odillon</dc:creator>
  <dc:description/>
  <dc:language>pt-BR</dc:language>
  <cp:lastModifiedBy/>
  <cp:lastPrinted>1995-11-21T17:41:00Z</cp:lastPrinted>
  <dcterms:modified xsi:type="dcterms:W3CDTF">2026-08-31T10:19:07Z</dcterms:modified>
  <cp:revision>683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