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40" w:before="0" w:after="0"/>
        <w:ind w:left="0" w:right="0" w:hanging="0"/>
        <w:jc w:val="center"/>
        <w:rPr>
          <w:rFonts w:eastAsia="Calibri" w:cs="Calibri"/>
          <w:color w:val="00000A"/>
          <w:sz w:val="16"/>
          <w:szCs w:val="20"/>
          <w:lang w:val="pt-BR" w:eastAsia="zxx" w:bidi="ar-SA"/>
        </w:rPr>
      </w:pPr>
      <w:r>
        <w:rPr>
          <w:rFonts w:eastAsia="Calibri" w:cs="Calibri"/>
          <w:color w:val="00000A"/>
          <w:sz w:val="16"/>
          <w:szCs w:val="20"/>
          <w:lang w:val="pt-BR" w:eastAsia="zxx" w:bidi="ar-SA"/>
        </w:rPr>
      </w:r>
    </w:p>
    <w:p>
      <w:pPr>
        <w:pStyle w:val="Normal"/>
        <w:bidi w:val="0"/>
        <w:spacing w:lineRule="auto" w:line="240" w:before="0" w:after="0"/>
        <w:ind w:left="0" w:right="0" w:hanging="0"/>
        <w:jc w:val="center"/>
        <w:rPr>
          <w:rFonts w:ascii="arial" w:hAnsi="arial" w:eastAsia="Times New Roman" w:cs="arial"/>
          <w:b/>
          <w:b/>
          <w:bCs/>
          <w:color w:val="00000A"/>
          <w:sz w:val="24"/>
          <w:szCs w:val="24"/>
          <w:u w:val="single"/>
          <w:lang w:val="pt-BR" w:eastAsia="zxx" w:bidi="ar-SA"/>
        </w:rPr>
      </w:pPr>
      <w:r>
        <w:rPr>
          <w:rFonts w:eastAsia="Times New Roman" w:cs="arial" w:ascii="arial" w:hAnsi="arial"/>
          <w:b/>
          <w:bCs/>
          <w:color w:val="00000A"/>
          <w:sz w:val="24"/>
          <w:szCs w:val="24"/>
          <w:u w:val="single"/>
          <w:lang w:val="pt-BR" w:eastAsia="zxx" w:bidi="ar-SA"/>
        </w:rPr>
        <w:t>INTENÇÃO DE REGISTRO DE PREÇOS Nº 017/2026</w:t>
      </w:r>
    </w:p>
    <w:p>
      <w:pPr>
        <w:pStyle w:val="Normal"/>
        <w:bidi w:val="0"/>
        <w:spacing w:lineRule="auto" w:line="240" w:before="0" w:after="0"/>
        <w:ind w:left="0" w:right="0" w:hanging="0"/>
        <w:jc w:val="center"/>
        <w:rPr>
          <w:rFonts w:eastAsia="Calibri" w:cs="Calibri"/>
          <w:color w:val="00000A"/>
          <w:sz w:val="16"/>
          <w:szCs w:val="20"/>
          <w:lang w:val="pt-BR" w:eastAsia="zxx" w:bidi="ar-SA"/>
        </w:rPr>
      </w:pPr>
      <w:r>
        <w:rPr>
          <w:rFonts w:eastAsia="Calibri" w:cs="Calibri"/>
          <w:color w:val="00000A"/>
          <w:sz w:val="16"/>
          <w:szCs w:val="20"/>
          <w:lang w:val="pt-BR" w:eastAsia="zxx" w:bidi="ar-SA"/>
        </w:rPr>
      </w:r>
    </w:p>
    <w:p>
      <w:pPr>
        <w:pStyle w:val="Normal"/>
        <w:bidi w:val="0"/>
        <w:spacing w:lineRule="auto" w:line="240" w:before="0" w:after="0"/>
        <w:ind w:left="0" w:right="0" w:hanging="0"/>
        <w:jc w:val="center"/>
        <w:rPr>
          <w:u w:val="none"/>
        </w:rPr>
      </w:pPr>
      <w:r>
        <w:rPr>
          <w:rFonts w:eastAsia="Times New Roman" w:cs="arial" w:ascii="arial" w:hAnsi="arial"/>
          <w:b/>
          <w:bCs/>
          <w:color w:val="00000A"/>
          <w:sz w:val="24"/>
          <w:szCs w:val="24"/>
          <w:u w:val="none"/>
          <w:lang w:val="pt-BR" w:eastAsia="zxx" w:bidi="ar-SA"/>
        </w:rPr>
        <w:t>SOLICITAÇÃO DE PARTICIPAÇÃO</w:t>
      </w:r>
    </w:p>
    <w:p>
      <w:pPr>
        <w:pStyle w:val="Normal"/>
        <w:bidi w:val="0"/>
        <w:spacing w:lineRule="auto" w:line="240" w:before="0" w:after="0"/>
        <w:ind w:left="0" w:right="0" w:hanging="0"/>
        <w:jc w:val="center"/>
        <w:rPr>
          <w:rFonts w:ascii="arial" w:hAnsi="arial" w:eastAsia="Times New Roman" w:cs="arial"/>
          <w:color w:val="00000A"/>
          <w:sz w:val="24"/>
          <w:szCs w:val="24"/>
          <w:lang w:val="pt-BR" w:eastAsia="zxx" w:bidi="ar-SA"/>
        </w:rPr>
      </w:pPr>
      <w:r>
        <w:rPr>
          <w:rFonts w:eastAsia="Times New Roman" w:cs="arial" w:ascii="arial" w:hAnsi="arial"/>
          <w:color w:val="00000A"/>
          <w:sz w:val="24"/>
          <w:szCs w:val="24"/>
          <w:lang w:val="pt-BR" w:eastAsia="zxx" w:bidi="ar-SA"/>
        </w:rPr>
      </w:r>
    </w:p>
    <w:p>
      <w:pPr>
        <w:pStyle w:val="Normal"/>
        <w:bidi w:val="0"/>
        <w:spacing w:lineRule="auto" w:line="240" w:before="0" w:after="0"/>
        <w:ind w:left="0" w:right="0" w:hanging="0"/>
        <w:jc w:val="both"/>
        <w:rPr>
          <w:rFonts w:ascii="Arial" w:hAnsi="Arial" w:eastAsia="Times New Roman" w:cs="Arial"/>
          <w:b/>
          <w:b/>
          <w:bCs/>
          <w:color w:val="000000"/>
          <w:sz w:val="24"/>
          <w:szCs w:val="24"/>
          <w:lang w:eastAsia="ar-SA"/>
        </w:rPr>
      </w:pPr>
      <w:r>
        <w:rPr>
          <w:rFonts w:eastAsia="Times New Roman" w:cs="Arial" w:ascii="Arial" w:hAnsi="Arial"/>
          <w:b/>
          <w:bCs/>
          <w:color w:val="000000"/>
          <w:sz w:val="24"/>
          <w:szCs w:val="24"/>
          <w:lang w:eastAsia="ar-SA"/>
        </w:rPr>
        <w:t>1. OBJETO</w:t>
      </w:r>
    </w:p>
    <w:p>
      <w:pPr>
        <w:pStyle w:val="Normal"/>
        <w:bidi w:val="0"/>
        <w:spacing w:lineRule="auto" w:line="240" w:before="0" w:after="0"/>
        <w:ind w:left="0" w:right="0" w:hanging="0"/>
        <w:jc w:val="both"/>
        <w:rPr>
          <w:rFonts w:eastAsia="Times New Roman" w:cs="Arial"/>
          <w:color w:val="000000"/>
          <w:sz w:val="24"/>
          <w:szCs w:val="24"/>
          <w:lang w:eastAsia="ar-SA"/>
        </w:rPr>
      </w:pPr>
      <w:r>
        <w:rPr>
          <w:rFonts w:eastAsia="Times New Roman" w:cs="Arial"/>
          <w:color w:val="000000"/>
          <w:sz w:val="24"/>
          <w:szCs w:val="24"/>
          <w:lang w:eastAsia="ar-SA"/>
        </w:rPr>
      </w:r>
    </w:p>
    <w:p>
      <w:pPr>
        <w:pStyle w:val="Normal"/>
        <w:bidi w:val="0"/>
        <w:spacing w:lineRule="auto" w:line="240" w:before="0" w:after="0"/>
        <w:ind w:left="0" w:right="0" w:hanging="0"/>
        <w:jc w:val="both"/>
        <w:rPr/>
      </w:pPr>
      <w:r>
        <w:rPr>
          <w:rFonts w:eastAsia="Times New Roman" w:cs="Arial" w:ascii="Arial" w:hAnsi="Arial"/>
          <w:b w:val="false"/>
          <w:bCs w:val="false"/>
          <w:color w:val="000000"/>
          <w:sz w:val="24"/>
          <w:szCs w:val="24"/>
          <w:highlight w:val="white"/>
          <w:lang w:val="pt-BR" w:eastAsia="ar-SA" w:bidi="ar-SA"/>
        </w:rPr>
        <w:t>1.1. Constitui objeto deste instrumento a aquisição de material médico hospitalar, em caráter de consignação com comodato das caixas, para uso em procedimentos cirúrgicos de ortopedia, via Sistema de Registro de Preços, para atendimento aos Órgãos da Administração Direta e Indireta do Município de Varginha.</w:t>
      </w:r>
    </w:p>
    <w:p>
      <w:pPr>
        <w:pStyle w:val="Normal"/>
        <w:bidi w:val="0"/>
        <w:spacing w:lineRule="auto" w:line="240" w:before="0" w:after="0"/>
        <w:ind w:left="0" w:right="0" w:hanging="0"/>
        <w:jc w:val="both"/>
        <w:rPr>
          <w:highlight w:val="white"/>
        </w:rPr>
      </w:pPr>
      <w:r>
        <w:rPr>
          <w:highlight w:val="white"/>
        </w:rPr>
      </w:r>
    </w:p>
    <w:p>
      <w:pPr>
        <w:pStyle w:val="Normal"/>
        <w:bidi w:val="0"/>
        <w:spacing w:lineRule="auto" w:line="240" w:before="0" w:after="0"/>
        <w:ind w:left="0" w:right="0" w:hanging="0"/>
        <w:jc w:val="both"/>
        <w:rPr>
          <w:rFonts w:ascii="Arial" w:hAnsi="Arial" w:eastAsia="Times New Roman" w:cs="Arial"/>
          <w:color w:val="000000"/>
          <w:sz w:val="24"/>
          <w:szCs w:val="24"/>
          <w:lang w:val="pt-BR" w:eastAsia="ar-SA" w:bidi="ar-SA"/>
        </w:rPr>
      </w:pPr>
      <w:r>
        <w:rPr>
          <w:rFonts w:eastAsia="Times New Roman" w:cs="Arial" w:ascii="Arial" w:hAnsi="Arial"/>
          <w:color w:val="000000"/>
          <w:sz w:val="24"/>
          <w:szCs w:val="24"/>
          <w:highlight w:val="white"/>
          <w:lang w:val="pt-BR" w:eastAsia="ar-SA" w:bidi="ar-SA"/>
        </w:rPr>
        <w:t>1.2. Estima-se a aquisição dos seguintes itens e respectivas quantidades:</w:t>
      </w:r>
    </w:p>
    <w:p>
      <w:pPr>
        <w:pStyle w:val="Normal"/>
        <w:bidi w:val="0"/>
        <w:spacing w:lineRule="auto" w:line="240" w:before="0" w:after="0"/>
        <w:ind w:left="0" w:right="0" w:hanging="0"/>
        <w:jc w:val="both"/>
        <w:rPr>
          <w:highlight w:val="white"/>
        </w:rPr>
      </w:pPr>
      <w:r>
        <w:rPr>
          <w:highlight w:val="white"/>
        </w:rPr>
      </w:r>
    </w:p>
    <w:tbl>
      <w:tblPr>
        <w:tblW w:w="9240" w:type="dxa"/>
        <w:jc w:val="left"/>
        <w:tblInd w:w="17" w:type="dxa"/>
        <w:tblLayout w:type="fixed"/>
        <w:tblCellMar>
          <w:top w:w="0" w:type="dxa"/>
          <w:left w:w="4" w:type="dxa"/>
          <w:bottom w:w="0" w:type="dxa"/>
          <w:right w:w="70" w:type="dxa"/>
        </w:tblCellMar>
      </w:tblPr>
      <w:tblGrid>
        <w:gridCol w:w="675"/>
        <w:gridCol w:w="4030"/>
        <w:gridCol w:w="1700"/>
        <w:gridCol w:w="1470"/>
        <w:gridCol w:w="1365"/>
      </w:tblGrid>
      <w:tr>
        <w:trPr/>
        <w:tc>
          <w:tcPr>
            <w:tcW w:w="675" w:type="dxa"/>
            <w:tcBorders>
              <w:top w:val="single" w:sz="2" w:space="0" w:color="000001"/>
              <w:left w:val="single" w:sz="2" w:space="0" w:color="000001"/>
              <w:bottom w:val="single" w:sz="2" w:space="0" w:color="000001"/>
            </w:tcBorders>
            <w:shd w:fill="auto" w:val="clear"/>
            <w:vAlign w:val="center"/>
          </w:tcPr>
          <w:p>
            <w:pPr>
              <w:pStyle w:val="Normal"/>
              <w:widowControl w:val="false"/>
              <w:bidi w:val="0"/>
              <w:snapToGrid w:val="false"/>
              <w:spacing w:lineRule="auto" w:line="240" w:before="0" w:after="0"/>
              <w:ind w:left="0" w:right="0" w:hanging="0"/>
              <w:jc w:val="center"/>
              <w:rPr>
                <w:rFonts w:ascii="Arial" w:hAnsi="Arial" w:eastAsia="Times New Roman" w:cs="Arial"/>
                <w:b/>
                <w:b/>
                <w:bCs/>
                <w:sz w:val="22"/>
                <w:szCs w:val="22"/>
              </w:rPr>
            </w:pPr>
            <w:r>
              <w:rPr>
                <w:rFonts w:eastAsia="Times New Roman" w:cs="Arial" w:ascii="Arial" w:hAnsi="Arial"/>
                <w:b/>
                <w:bCs/>
                <w:sz w:val="22"/>
                <w:szCs w:val="22"/>
              </w:rPr>
              <w:t>Item</w:t>
            </w:r>
            <w:r>
              <w:rPr>
                <w:rFonts w:eastAsia="Times New Roman" w:cs="Arial" w:ascii="Arial" w:hAnsi="Arial"/>
                <w:b/>
                <w:bCs/>
                <w:color w:val="FF3333"/>
                <w:sz w:val="22"/>
                <w:szCs w:val="22"/>
              </w:rPr>
              <w:t>*</w:t>
            </w:r>
          </w:p>
        </w:tc>
        <w:tc>
          <w:tcPr>
            <w:tcW w:w="4030" w:type="dxa"/>
            <w:tcBorders>
              <w:top w:val="single" w:sz="2" w:space="0" w:color="000001"/>
              <w:left w:val="single" w:sz="2" w:space="0" w:color="000001"/>
              <w:bottom w:val="single" w:sz="2" w:space="0" w:color="000001"/>
            </w:tcBorders>
            <w:shd w:fill="auto" w:val="clear"/>
            <w:vAlign w:val="center"/>
          </w:tcPr>
          <w:p>
            <w:pPr>
              <w:pStyle w:val="Normal"/>
              <w:widowControl w:val="false"/>
              <w:bidi w:val="0"/>
              <w:snapToGrid w:val="false"/>
              <w:spacing w:lineRule="auto" w:line="240" w:before="0" w:after="0"/>
              <w:ind w:left="0" w:right="0" w:hanging="0"/>
              <w:jc w:val="center"/>
              <w:rPr>
                <w:rFonts w:ascii="Arial" w:hAnsi="Arial" w:eastAsia="Times New Roman" w:cs="Arial"/>
                <w:b/>
                <w:b/>
                <w:bCs/>
                <w:sz w:val="22"/>
                <w:szCs w:val="22"/>
              </w:rPr>
            </w:pPr>
            <w:r>
              <w:rPr>
                <w:rFonts w:eastAsia="Times New Roman" w:cs="Arial" w:ascii="Arial" w:hAnsi="Arial"/>
                <w:b/>
                <w:bCs/>
                <w:sz w:val="22"/>
                <w:szCs w:val="22"/>
              </w:rPr>
              <w:t>Especificação</w:t>
            </w:r>
          </w:p>
        </w:tc>
        <w:tc>
          <w:tcPr>
            <w:tcW w:w="1700" w:type="dxa"/>
            <w:tcBorders>
              <w:top w:val="single" w:sz="2" w:space="0" w:color="000001"/>
              <w:left w:val="single" w:sz="2" w:space="0" w:color="000001"/>
              <w:bottom w:val="single" w:sz="2" w:space="0" w:color="000001"/>
            </w:tcBorders>
            <w:shd w:fill="auto" w:val="clear"/>
            <w:vAlign w:val="center"/>
          </w:tcPr>
          <w:p>
            <w:pPr>
              <w:pStyle w:val="Normal"/>
              <w:widowControl w:val="false"/>
              <w:bidi w:val="0"/>
              <w:snapToGrid w:val="false"/>
              <w:spacing w:lineRule="auto" w:line="240" w:before="0" w:after="0"/>
              <w:ind w:left="0" w:right="0" w:hanging="0"/>
              <w:jc w:val="center"/>
              <w:rPr/>
            </w:pPr>
            <w:r>
              <w:rPr>
                <w:rFonts w:ascii="Arial" w:hAnsi="Arial"/>
                <w:b/>
                <w:bCs/>
                <w:sz w:val="22"/>
                <w:szCs w:val="22"/>
              </w:rPr>
              <w:t>Quantidade para 12 meses</w:t>
            </w:r>
          </w:p>
        </w:tc>
        <w:tc>
          <w:tcPr>
            <w:tcW w:w="1470" w:type="dxa"/>
            <w:tcBorders>
              <w:top w:val="single" w:sz="2" w:space="0" w:color="000001"/>
              <w:left w:val="single" w:sz="2" w:space="0" w:color="000001"/>
              <w:bottom w:val="single" w:sz="2" w:space="0" w:color="000001"/>
            </w:tcBorders>
            <w:shd w:fill="auto" w:val="clear"/>
            <w:vAlign w:val="center"/>
          </w:tcPr>
          <w:p>
            <w:pPr>
              <w:pStyle w:val="Normal"/>
              <w:widowControl w:val="false"/>
              <w:bidi w:val="0"/>
              <w:snapToGrid w:val="false"/>
              <w:spacing w:lineRule="auto" w:line="240" w:before="0" w:after="0"/>
              <w:ind w:left="0" w:right="0" w:hanging="0"/>
              <w:jc w:val="center"/>
              <w:rPr>
                <w:rFonts w:ascii="Arial" w:hAnsi="Arial"/>
                <w:b/>
                <w:b/>
                <w:bCs/>
                <w:sz w:val="22"/>
                <w:szCs w:val="22"/>
              </w:rPr>
            </w:pPr>
            <w:r>
              <w:rPr>
                <w:rFonts w:ascii="Arial" w:hAnsi="Arial"/>
                <w:b/>
                <w:bCs/>
                <w:sz w:val="22"/>
                <w:szCs w:val="22"/>
              </w:rPr>
              <w:t>Valor unit.</w:t>
            </w:r>
            <w:r>
              <w:rPr>
                <w:rFonts w:ascii="Arial" w:hAnsi="Arial"/>
                <w:b/>
                <w:bCs/>
                <w:color w:val="FF3333"/>
                <w:sz w:val="22"/>
                <w:szCs w:val="22"/>
              </w:rPr>
              <w:t>**</w:t>
            </w:r>
          </w:p>
        </w:tc>
        <w:tc>
          <w:tcPr>
            <w:tcW w:w="1365" w:type="dxa"/>
            <w:tcBorders>
              <w:top w:val="single" w:sz="2" w:space="0" w:color="000001"/>
              <w:left w:val="single" w:sz="2" w:space="0" w:color="000001"/>
              <w:bottom w:val="single" w:sz="2" w:space="0" w:color="000001"/>
              <w:right w:val="single" w:sz="2" w:space="0" w:color="000001"/>
            </w:tcBorders>
            <w:shd w:fill="auto" w:val="clear"/>
            <w:vAlign w:val="center"/>
          </w:tcPr>
          <w:p>
            <w:pPr>
              <w:pStyle w:val="Normal"/>
              <w:widowControl w:val="false"/>
              <w:bidi w:val="0"/>
              <w:snapToGrid w:val="false"/>
              <w:spacing w:lineRule="auto" w:line="240" w:before="0" w:after="0"/>
              <w:ind w:left="0" w:right="0" w:hanging="0"/>
              <w:jc w:val="center"/>
              <w:rPr>
                <w:rFonts w:ascii="Arial" w:hAnsi="Arial"/>
                <w:b/>
                <w:b/>
                <w:bCs/>
                <w:sz w:val="22"/>
                <w:szCs w:val="22"/>
              </w:rPr>
            </w:pPr>
            <w:r>
              <w:rPr>
                <w:rFonts w:ascii="Arial" w:hAnsi="Arial"/>
                <w:b/>
                <w:bCs/>
                <w:sz w:val="22"/>
                <w:szCs w:val="22"/>
              </w:rPr>
              <w:t>Valor Total</w:t>
            </w:r>
          </w:p>
        </w:tc>
      </w:tr>
      <w:tr>
        <w:trPr>
          <w:trHeight w:val="1437" w:hRule="atLeast"/>
        </w:trPr>
        <w:tc>
          <w:tcPr>
            <w:tcW w:w="675" w:type="dxa"/>
            <w:tcBorders>
              <w:top w:val="single" w:sz="2" w:space="0" w:color="000001"/>
              <w:left w:val="single" w:sz="2" w:space="0" w:color="000001"/>
              <w:bottom w:val="single" w:sz="2" w:space="0" w:color="000001"/>
            </w:tcBorders>
            <w:shd w:fill="auto" w:val="clear"/>
            <w:vAlign w:val="center"/>
          </w:tcPr>
          <w:p>
            <w:pPr>
              <w:pStyle w:val="Normal"/>
              <w:widowControl w:val="false"/>
              <w:tabs>
                <w:tab w:val="clear" w:pos="408"/>
                <w:tab w:val="left" w:pos="457" w:leader="none"/>
              </w:tabs>
              <w:bidi w:val="0"/>
              <w:spacing w:lineRule="auto" w:line="240" w:before="0" w:after="0"/>
              <w:ind w:left="0" w:right="0" w:hanging="0"/>
              <w:jc w:val="center"/>
              <w:rPr>
                <w:rFonts w:ascii="Arial" w:hAnsi="Arial" w:eastAsia="Times New Roman" w:cs="Arial"/>
                <w:sz w:val="22"/>
                <w:szCs w:val="22"/>
              </w:rPr>
            </w:pPr>
            <w:r>
              <w:rPr>
                <w:rFonts w:eastAsia="Times New Roman" w:cs="Arial" w:ascii="Arial" w:hAnsi="Arial"/>
                <w:sz w:val="22"/>
                <w:szCs w:val="22"/>
              </w:rPr>
            </w:r>
          </w:p>
        </w:tc>
        <w:tc>
          <w:tcPr>
            <w:tcW w:w="4030" w:type="dxa"/>
            <w:tcBorders>
              <w:top w:val="single" w:sz="2" w:space="0" w:color="000001"/>
              <w:left w:val="single" w:sz="2" w:space="0" w:color="000001"/>
              <w:bottom w:val="single" w:sz="2" w:space="0" w:color="000001"/>
            </w:tcBorders>
            <w:shd w:fill="auto" w:val="clear"/>
            <w:vAlign w:val="center"/>
          </w:tcPr>
          <w:p>
            <w:pPr>
              <w:pStyle w:val="Normal"/>
              <w:widowControl w:val="false"/>
              <w:tabs>
                <w:tab w:val="clear" w:pos="408"/>
                <w:tab w:val="left" w:pos="457" w:leader="none"/>
              </w:tabs>
              <w:bidi w:val="0"/>
              <w:spacing w:lineRule="auto" w:line="240" w:before="0" w:after="0"/>
              <w:ind w:left="0" w:right="0" w:hanging="0"/>
              <w:jc w:val="both"/>
              <w:rPr>
                <w:rStyle w:val="Fontepargpadro"/>
                <w:rFonts w:ascii="Arial" w:hAnsi="Arial" w:eastAsia="Times New Roman" w:cs="Arial"/>
                <w:b w:val="false"/>
                <w:b w:val="false"/>
                <w:bCs w:val="false"/>
                <w:i w:val="false"/>
                <w:i w:val="false"/>
                <w:iCs w:val="false"/>
                <w:caps w:val="false"/>
                <w:smallCaps w:val="false"/>
                <w:strike w:val="false"/>
                <w:dstrike w:val="false"/>
                <w:color w:val="00000A"/>
                <w:spacing w:val="0"/>
                <w:highlight w:val="white"/>
                <w:u w:val="none"/>
                <w:lang w:val="pt-BR" w:eastAsia="zxx" w:bidi="ar-SA"/>
              </w:rPr>
            </w:pPr>
            <w:r>
              <w:rPr>
                <w:rFonts w:eastAsia="Times New Roman" w:cs="Arial" w:ascii="Arial" w:hAnsi="Arial"/>
                <w:b w:val="false"/>
                <w:bCs w:val="false"/>
                <w:i w:val="false"/>
                <w:iCs w:val="false"/>
                <w:caps w:val="false"/>
                <w:smallCaps w:val="false"/>
                <w:strike w:val="false"/>
                <w:dstrike w:val="false"/>
                <w:color w:val="00000A"/>
                <w:spacing w:val="0"/>
                <w:highlight w:val="white"/>
                <w:u w:val="none"/>
                <w:lang w:val="pt-BR" w:eastAsia="zxx" w:bidi="ar-SA"/>
              </w:rPr>
            </w:r>
          </w:p>
        </w:tc>
        <w:tc>
          <w:tcPr>
            <w:tcW w:w="1700" w:type="dxa"/>
            <w:tcBorders>
              <w:top w:val="single" w:sz="2" w:space="0" w:color="000001"/>
              <w:left w:val="single" w:sz="2" w:space="0" w:color="000001"/>
              <w:bottom w:val="single" w:sz="2" w:space="0" w:color="000001"/>
            </w:tcBorders>
            <w:shd w:fill="auto" w:val="clear"/>
            <w:vAlign w:val="center"/>
          </w:tcPr>
          <w:p>
            <w:pPr>
              <w:pStyle w:val="Normal"/>
              <w:widowControl w:val="false"/>
              <w:tabs>
                <w:tab w:val="clear" w:pos="408"/>
                <w:tab w:val="left" w:pos="457" w:leader="none"/>
              </w:tabs>
              <w:bidi w:val="0"/>
              <w:spacing w:lineRule="auto" w:line="240" w:before="0" w:after="0"/>
              <w:ind w:left="0" w:right="0" w:hanging="0"/>
              <w:jc w:val="center"/>
              <w:rPr>
                <w:rFonts w:ascii="Arial" w:hAnsi="Arial"/>
                <w:sz w:val="22"/>
                <w:szCs w:val="22"/>
              </w:rPr>
            </w:pPr>
            <w:r>
              <w:rPr>
                <w:rFonts w:ascii="Arial" w:hAnsi="Arial"/>
                <w:sz w:val="22"/>
                <w:szCs w:val="22"/>
              </w:rPr>
            </w:r>
          </w:p>
        </w:tc>
        <w:tc>
          <w:tcPr>
            <w:tcW w:w="1470" w:type="dxa"/>
            <w:tcBorders>
              <w:top w:val="single" w:sz="2" w:space="0" w:color="000001"/>
              <w:left w:val="single" w:sz="2" w:space="0" w:color="000001"/>
              <w:bottom w:val="single" w:sz="2" w:space="0" w:color="000001"/>
            </w:tcBorders>
            <w:shd w:fill="auto" w:val="clear"/>
            <w:vAlign w:val="center"/>
          </w:tcPr>
          <w:p>
            <w:pPr>
              <w:pStyle w:val="Normal"/>
              <w:widowControl w:val="false"/>
              <w:tabs>
                <w:tab w:val="clear" w:pos="408"/>
                <w:tab w:val="left" w:pos="457" w:leader="none"/>
              </w:tabs>
              <w:bidi w:val="0"/>
              <w:snapToGrid w:val="false"/>
              <w:spacing w:lineRule="auto" w:line="240" w:before="0" w:after="0"/>
              <w:ind w:left="0" w:right="0" w:hanging="0"/>
              <w:jc w:val="center"/>
              <w:rPr>
                <w:rFonts w:ascii="Arial" w:hAnsi="Arial"/>
                <w:b w:val="false"/>
                <w:b w:val="false"/>
                <w:bCs w:val="false"/>
                <w:i w:val="false"/>
                <w:i w:val="false"/>
                <w:strike w:val="false"/>
                <w:dstrike w:val="false"/>
                <w:outline w:val="false"/>
                <w:shadow w:val="false"/>
                <w:sz w:val="21"/>
                <w:szCs w:val="21"/>
                <w:u w:val="none"/>
                <w:em w:val="none"/>
              </w:rPr>
            </w:pPr>
            <w:r>
              <w:rPr>
                <w:rFonts w:ascii="Arial" w:hAnsi="Arial"/>
                <w:b w:val="false"/>
                <w:bCs w:val="false"/>
                <w:i w:val="false"/>
                <w:strike w:val="false"/>
                <w:dstrike w:val="false"/>
                <w:outline w:val="false"/>
                <w:shadow w:val="false"/>
                <w:sz w:val="21"/>
                <w:szCs w:val="21"/>
                <w:u w:val="none"/>
                <w:em w:val="none"/>
              </w:rPr>
            </w:r>
          </w:p>
        </w:tc>
        <w:tc>
          <w:tcPr>
            <w:tcW w:w="1365" w:type="dxa"/>
            <w:tcBorders>
              <w:top w:val="single" w:sz="2" w:space="0" w:color="000001"/>
              <w:left w:val="single" w:sz="2" w:space="0" w:color="000001"/>
              <w:bottom w:val="single" w:sz="2" w:space="0" w:color="000001"/>
              <w:right w:val="single" w:sz="2" w:space="0" w:color="000001"/>
            </w:tcBorders>
            <w:shd w:fill="auto" w:val="clear"/>
            <w:vAlign w:val="center"/>
          </w:tcPr>
          <w:p>
            <w:pPr>
              <w:pStyle w:val="Normal"/>
              <w:widowControl w:val="false"/>
              <w:tabs>
                <w:tab w:val="clear" w:pos="408"/>
                <w:tab w:val="left" w:pos="457" w:leader="none"/>
              </w:tabs>
              <w:bidi w:val="0"/>
              <w:snapToGrid w:val="false"/>
              <w:spacing w:lineRule="auto" w:line="240" w:before="0" w:after="0"/>
              <w:ind w:left="0" w:right="0" w:hanging="0"/>
              <w:jc w:val="center"/>
              <w:rPr>
                <w:rFonts w:ascii="Arial" w:hAnsi="Arial"/>
                <w:b/>
                <w:b/>
                <w:bCs/>
                <w:sz w:val="22"/>
                <w:szCs w:val="22"/>
              </w:rPr>
            </w:pPr>
            <w:r>
              <w:rPr>
                <w:rFonts w:ascii="Arial" w:hAnsi="Arial"/>
                <w:b/>
                <w:bCs/>
                <w:sz w:val="22"/>
                <w:szCs w:val="22"/>
              </w:rPr>
            </w:r>
          </w:p>
        </w:tc>
      </w:tr>
    </w:tbl>
    <w:p>
      <w:pPr>
        <w:pStyle w:val="Normal"/>
        <w:tabs>
          <w:tab w:val="clear" w:pos="408"/>
          <w:tab w:val="left" w:pos="0" w:leader="none"/>
        </w:tabs>
        <w:bidi w:val="0"/>
        <w:spacing w:lineRule="auto" w:line="240" w:before="0" w:after="0"/>
        <w:ind w:left="0" w:right="0" w:hanging="0"/>
        <w:jc w:val="left"/>
        <w:rPr>
          <w:rStyle w:val="LinkdaInternet"/>
          <w:rFonts w:ascii="arial" w:hAnsi="arial" w:eastAsia="Arial Unicode MS;Tahoma" w:cs="arial"/>
          <w:b/>
          <w:b/>
          <w:bCs/>
          <w:i w:val="false"/>
          <w:i w:val="false"/>
          <w:caps w:val="false"/>
          <w:smallCaps w:val="false"/>
          <w:strike w:val="false"/>
          <w:dstrike w:val="false"/>
          <w:color w:val="000000"/>
          <w:sz w:val="24"/>
          <w:szCs w:val="24"/>
          <w:u w:val="none"/>
          <w:lang w:val="zxx" w:eastAsia="zxx" w:bidi="zxx"/>
        </w:rPr>
      </w:pPr>
      <w:r>
        <w:rPr>
          <w:rFonts w:eastAsia="Arial Unicode MS;Tahoma" w:cs="arial" w:ascii="arial" w:hAnsi="arial"/>
          <w:b/>
          <w:bCs/>
          <w:i w:val="false"/>
          <w:caps w:val="false"/>
          <w:smallCaps w:val="false"/>
          <w:strike w:val="false"/>
          <w:dstrike w:val="false"/>
          <w:color w:val="000000"/>
          <w:sz w:val="24"/>
          <w:szCs w:val="24"/>
          <w:u w:val="none"/>
          <w:lang w:val="zxx" w:eastAsia="zxx" w:bidi="zxx"/>
        </w:rPr>
      </w:r>
    </w:p>
    <w:p>
      <w:pPr>
        <w:pStyle w:val="Normal"/>
        <w:bidi w:val="0"/>
        <w:spacing w:lineRule="auto" w:line="240" w:before="0" w:after="0"/>
        <w:ind w:left="0" w:right="0" w:hanging="0"/>
        <w:jc w:val="both"/>
        <w:rPr/>
      </w:pPr>
      <w:r>
        <w:rPr>
          <w:rFonts w:cs="arial" w:ascii="arial" w:hAnsi="arial"/>
          <w:color w:val="FF3333"/>
          <w:sz w:val="24"/>
          <w:szCs w:val="24"/>
        </w:rPr>
        <w:t>* Preencher o número do item conforme sequencial do Termo de Referência.</w:t>
      </w:r>
    </w:p>
    <w:p>
      <w:pPr>
        <w:pStyle w:val="Normal"/>
        <w:bidi w:val="0"/>
        <w:spacing w:lineRule="auto" w:line="240" w:before="0" w:after="0"/>
        <w:ind w:left="0" w:right="0" w:hanging="0"/>
        <w:jc w:val="both"/>
        <w:rPr/>
      </w:pPr>
      <w:r>
        <w:rPr>
          <w:rStyle w:val="LinkdaInternet"/>
          <w:color w:val="FF3333"/>
          <w:u w:val="none"/>
        </w:rPr>
        <w:t>** Os valores unitários deverão ser preenchidos de acordo com os valores informados no Termo de Referência.</w:t>
      </w:r>
    </w:p>
    <w:p>
      <w:pPr>
        <w:pStyle w:val="Normal"/>
        <w:bidi w:val="0"/>
        <w:spacing w:lineRule="auto" w:line="240" w:before="0" w:after="0"/>
        <w:ind w:left="0" w:right="0" w:hanging="0"/>
        <w:jc w:val="both"/>
        <w:rPr>
          <w:rFonts w:ascii="arial" w:hAnsi="arial" w:cs="arial"/>
          <w:color w:val="FF3333"/>
          <w:sz w:val="24"/>
          <w:szCs w:val="24"/>
        </w:rPr>
      </w:pPr>
      <w:r>
        <w:rPr>
          <w:rFonts w:cs="arial" w:ascii="arial" w:hAnsi="arial"/>
          <w:color w:val="FF3333"/>
          <w:sz w:val="24"/>
          <w:szCs w:val="24"/>
        </w:rPr>
      </w:r>
    </w:p>
    <w:p>
      <w:pPr>
        <w:pStyle w:val="Normal"/>
        <w:bidi w:val="0"/>
        <w:spacing w:lineRule="auto" w:line="240" w:before="0" w:after="0"/>
        <w:ind w:left="0" w:right="0" w:hanging="0"/>
        <w:jc w:val="both"/>
        <w:rPr/>
      </w:pPr>
      <w:r>
        <w:rPr>
          <w:rFonts w:cs="arial" w:ascii="arial" w:hAnsi="arial"/>
          <w:b/>
          <w:bCs/>
          <w:color w:val="000000"/>
          <w:sz w:val="24"/>
          <w:szCs w:val="24"/>
        </w:rPr>
        <w:t xml:space="preserve">Obs¹.: </w:t>
      </w:r>
      <w:r>
        <w:rPr>
          <w:rFonts w:cs="arial" w:ascii="arial" w:hAnsi="arial"/>
          <w:color w:val="000000"/>
          <w:sz w:val="24"/>
          <w:szCs w:val="24"/>
        </w:rPr>
        <w:t>A solicitação deverá ser cadastrada no sistema Betha, com os códigos constantes no(s) item(ns) do Termo de Referência.</w:t>
      </w:r>
    </w:p>
    <w:p>
      <w:pPr>
        <w:pStyle w:val="Normal"/>
        <w:bidi w:val="0"/>
        <w:spacing w:lineRule="auto" w:line="240" w:before="0" w:after="0"/>
        <w:ind w:left="0" w:right="0" w:hanging="0"/>
        <w:jc w:val="both"/>
        <w:rPr>
          <w:rFonts w:ascii="arial" w:hAnsi="arial" w:cs="arial"/>
          <w:b/>
          <w:b/>
          <w:bCs/>
          <w:color w:val="000000"/>
          <w:sz w:val="24"/>
          <w:szCs w:val="24"/>
        </w:rPr>
      </w:pPr>
      <w:r>
        <w:rPr>
          <w:rFonts w:cs="arial" w:ascii="arial" w:hAnsi="arial"/>
          <w:b/>
          <w:bCs/>
          <w:color w:val="000000"/>
          <w:sz w:val="24"/>
          <w:szCs w:val="24"/>
        </w:rPr>
      </w:r>
    </w:p>
    <w:p>
      <w:pPr>
        <w:pStyle w:val="Normal"/>
        <w:bidi w:val="0"/>
        <w:spacing w:lineRule="auto" w:line="240" w:before="0" w:after="0"/>
        <w:ind w:left="0" w:right="0" w:hanging="0"/>
        <w:jc w:val="both"/>
        <w:rPr>
          <w:rFonts w:ascii="arial" w:hAnsi="arial"/>
          <w:sz w:val="24"/>
          <w:szCs w:val="24"/>
        </w:rPr>
      </w:pPr>
      <w:r>
        <w:rPr>
          <w:rFonts w:ascii="arial" w:hAnsi="arial"/>
          <w:b/>
          <w:bCs/>
          <w:color w:val="000000"/>
          <w:sz w:val="24"/>
          <w:szCs w:val="24"/>
        </w:rPr>
        <w:t xml:space="preserve">Obs².: </w:t>
      </w:r>
      <w:r>
        <w:rPr>
          <w:rFonts w:ascii="arial" w:hAnsi="arial"/>
          <w:b w:val="false"/>
          <w:bCs w:val="false"/>
          <w:color w:val="000000"/>
          <w:sz w:val="24"/>
          <w:szCs w:val="24"/>
          <w:u w:val="single"/>
        </w:rPr>
        <w:t xml:space="preserve">No momento do preenchimento da solicitação no sistema, deverá ser escolhida como </w:t>
      </w:r>
      <w:r>
        <w:rPr>
          <w:rFonts w:ascii="arial" w:hAnsi="arial"/>
          <w:b/>
          <w:bCs/>
          <w:color w:val="000000"/>
          <w:sz w:val="24"/>
          <w:szCs w:val="24"/>
          <w:u w:val="single"/>
        </w:rPr>
        <w:t>entidade gestora*</w:t>
      </w:r>
      <w:r>
        <w:rPr>
          <w:rFonts w:ascii="arial" w:hAnsi="arial"/>
          <w:b w:val="false"/>
          <w:bCs w:val="false"/>
          <w:color w:val="000000"/>
          <w:sz w:val="24"/>
          <w:szCs w:val="24"/>
          <w:u w:val="single"/>
        </w:rPr>
        <w:t xml:space="preserve"> a Fundação Hospitalar do Município de Varginha.</w:t>
      </w:r>
    </w:p>
    <w:p>
      <w:pPr>
        <w:pStyle w:val="Normal"/>
        <w:bidi w:val="0"/>
        <w:spacing w:lineRule="auto" w:line="240" w:before="0" w:after="0"/>
        <w:ind w:left="0" w:right="0" w:hanging="0"/>
        <w:jc w:val="both"/>
        <w:rPr>
          <w:b w:val="false"/>
          <w:b w:val="false"/>
          <w:bCs w:val="false"/>
          <w:color w:val="000000"/>
          <w:u w:val="single"/>
        </w:rPr>
      </w:pPr>
      <w:r>
        <w:rPr>
          <w:b w:val="false"/>
          <w:bCs w:val="false"/>
          <w:color w:val="000000"/>
          <w:u w:val="single"/>
        </w:rPr>
      </w:r>
    </w:p>
    <w:p>
      <w:pPr>
        <w:pStyle w:val="Normal"/>
        <w:bidi w:val="0"/>
        <w:spacing w:lineRule="auto" w:line="240" w:before="0" w:after="0"/>
        <w:ind w:left="0" w:right="0" w:hanging="0"/>
        <w:jc w:val="both"/>
        <w:rPr>
          <w:rFonts w:ascii="arial" w:hAnsi="arial" w:cs="arial"/>
          <w:b/>
          <w:b/>
          <w:bCs/>
          <w:color w:val="000000"/>
          <w:sz w:val="24"/>
          <w:szCs w:val="24"/>
        </w:rPr>
      </w:pPr>
      <w:r>
        <w:rPr>
          <w:rFonts w:cs="arial" w:ascii="arial" w:hAnsi="arial"/>
          <w:b/>
          <w:bCs/>
          <w:color w:val="000000"/>
          <w:sz w:val="24"/>
          <w:szCs w:val="24"/>
        </w:rPr>
        <w:t>2. CONDIÇÕES GERAIS</w:t>
      </w:r>
    </w:p>
    <w:p>
      <w:pPr>
        <w:pStyle w:val="Normal"/>
        <w:bidi w:val="0"/>
        <w:spacing w:lineRule="auto" w:line="240" w:before="0" w:after="0"/>
        <w:ind w:left="0" w:right="0" w:hanging="0"/>
        <w:jc w:val="both"/>
        <w:rPr>
          <w:rFonts w:ascii="arial" w:hAnsi="arial" w:cs="arial"/>
          <w:color w:val="FF3333"/>
          <w:sz w:val="24"/>
          <w:szCs w:val="24"/>
        </w:rPr>
      </w:pPr>
      <w:r>
        <w:rPr>
          <w:rFonts w:cs="arial" w:ascii="arial" w:hAnsi="arial"/>
          <w:color w:val="FF3333"/>
          <w:sz w:val="24"/>
          <w:szCs w:val="24"/>
        </w:rPr>
      </w:r>
    </w:p>
    <w:p>
      <w:pPr>
        <w:pStyle w:val="ListParagraph"/>
        <w:bidi w:val="0"/>
        <w:spacing w:lineRule="auto" w:line="240" w:before="0" w:after="0"/>
        <w:ind w:left="0" w:right="0" w:hanging="0"/>
        <w:jc w:val="both"/>
        <w:rPr>
          <w:rFonts w:ascii="Arial" w:hAnsi="Arial" w:cs="arial"/>
          <w:color w:val="000000"/>
          <w:sz w:val="24"/>
          <w:szCs w:val="24"/>
          <w:highlight w:val="white"/>
        </w:rPr>
      </w:pPr>
      <w:r>
        <w:rPr>
          <w:rFonts w:cs="arial" w:ascii="Arial" w:hAnsi="Arial"/>
          <w:color w:val="000000"/>
          <w:sz w:val="24"/>
          <w:szCs w:val="24"/>
          <w:shd w:fill="FFFFFF" w:val="clear"/>
        </w:rPr>
        <w:t>2.1. A contratação se dará em conformidade do disposto no Art. 29 da Lei Federal nº 14.133 de 01 de abril de 2021 e Art. 122 do Decreto Municipal nº 11.595/2023, e demais disposições legais aplicáveis à espécie.</w:t>
      </w:r>
    </w:p>
    <w:p>
      <w:pPr>
        <w:pStyle w:val="ListParagraph"/>
        <w:bidi w:val="0"/>
        <w:spacing w:lineRule="auto" w:line="240" w:before="0" w:after="0"/>
        <w:ind w:left="0" w:right="0" w:hanging="0"/>
        <w:jc w:val="both"/>
        <w:rPr>
          <w:rFonts w:ascii="Arial" w:hAnsi="Arial" w:cs="arial"/>
          <w:color w:val="000000"/>
          <w:sz w:val="24"/>
          <w:szCs w:val="24"/>
          <w:shd w:fill="FFFFFF" w:val="clear"/>
        </w:rPr>
      </w:pPr>
      <w:r>
        <w:rPr>
          <w:rFonts w:cs="arial" w:ascii="Arial" w:hAnsi="Arial"/>
          <w:color w:val="000000"/>
          <w:sz w:val="24"/>
          <w:szCs w:val="24"/>
          <w:shd w:fill="FFFFFF" w:val="clear"/>
        </w:rPr>
      </w:r>
    </w:p>
    <w:p>
      <w:pPr>
        <w:pStyle w:val="ListParagraph"/>
        <w:bidi w:val="0"/>
        <w:spacing w:lineRule="auto" w:line="240" w:before="0" w:after="0"/>
        <w:ind w:left="0" w:right="0" w:hanging="0"/>
        <w:jc w:val="both"/>
        <w:rPr>
          <w:rFonts w:ascii="Arial" w:hAnsi="Arial" w:cs="arial"/>
          <w:color w:val="000000"/>
          <w:sz w:val="24"/>
          <w:szCs w:val="24"/>
          <w:highlight w:val="white"/>
        </w:rPr>
      </w:pPr>
      <w:r>
        <w:rPr>
          <w:rFonts w:eastAsia="Calibri" w:cs="arial" w:ascii="Arial" w:hAnsi="Arial"/>
          <w:color w:val="000000"/>
          <w:sz w:val="24"/>
          <w:szCs w:val="24"/>
          <w:shd w:fill="FFFFFF" w:val="clear"/>
          <w:lang w:val="pt-BR" w:eastAsia="zh-CN" w:bidi="ar-SA"/>
        </w:rPr>
        <w:t xml:space="preserve">2.2. </w:t>
      </w:r>
      <w:r>
        <w:rPr>
          <w:rStyle w:val="Fontepargpadro"/>
          <w:rFonts w:eastAsia="Calibri" w:cs="arial" w:ascii="Arial" w:hAnsi="Arial"/>
          <w:i w:val="false"/>
          <w:iCs w:val="false"/>
          <w:color w:val="000000"/>
          <w:sz w:val="24"/>
          <w:szCs w:val="24"/>
          <w:shd w:fill="FFFFFF" w:val="clear"/>
          <w:lang w:val="pt-BR" w:eastAsia="zh-CN" w:bidi="ar-SA"/>
        </w:rPr>
        <w:t>O prazo de início da contratação dar-se-á a partir de 15/08/2026.</w:t>
      </w:r>
    </w:p>
    <w:p>
      <w:pPr>
        <w:pStyle w:val="ListParagraph"/>
        <w:bidi w:val="0"/>
        <w:spacing w:lineRule="auto" w:line="240" w:before="0" w:after="0"/>
        <w:ind w:left="0" w:right="0" w:hanging="0"/>
        <w:jc w:val="both"/>
        <w:rPr>
          <w:rFonts w:eastAsia="Calibri"/>
          <w:i w:val="false"/>
          <w:i w:val="false"/>
          <w:iCs w:val="false"/>
          <w:highlight w:val="none"/>
          <w:shd w:fill="auto" w:val="clear"/>
          <w:lang w:val="pt-BR" w:eastAsia="zh-CN" w:bidi="ar-SA"/>
        </w:rPr>
      </w:pPr>
      <w:r>
        <w:rPr>
          <w:rFonts w:eastAsia="Calibri"/>
          <w:i w:val="false"/>
          <w:iCs w:val="false"/>
          <w:shd w:fill="auto"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i w:val="false"/>
          <w:iCs w:val="false"/>
          <w:color w:val="000000"/>
          <w:sz w:val="24"/>
          <w:szCs w:val="24"/>
          <w:shd w:fill="auto" w:val="clear"/>
          <w:lang w:val="pt-BR" w:eastAsia="zh-CN" w:bidi="ar-SA"/>
        </w:rPr>
        <w:t>2.3. O fornecimento dos materiais processar-se-á de forma parcelada, mediante solicitação.</w:t>
      </w:r>
    </w:p>
    <w:p>
      <w:pPr>
        <w:pStyle w:val="ListParagraph"/>
        <w:bidi w:val="0"/>
        <w:spacing w:lineRule="auto" w:line="240" w:before="0" w:after="0"/>
        <w:ind w:left="0" w:right="0" w:hanging="0"/>
        <w:jc w:val="both"/>
        <w:rPr>
          <w:rStyle w:val="Fontepargpadro"/>
          <w:rFonts w:ascii="Arial" w:hAnsi="Arial" w:eastAsia="Calibri" w:cs="arial"/>
          <w:i w:val="false"/>
          <w:i w:val="false"/>
          <w:iCs w:val="false"/>
          <w:color w:val="000000"/>
          <w:sz w:val="24"/>
          <w:szCs w:val="24"/>
          <w:highlight w:val="none"/>
          <w:shd w:fill="auto" w:val="clear"/>
          <w:lang w:val="pt-BR" w:eastAsia="zh-CN" w:bidi="ar-SA"/>
        </w:rPr>
      </w:pPr>
      <w:r>
        <w:rPr>
          <w:rFonts w:eastAsia="Calibri" w:cs="arial" w:ascii="Arial" w:hAnsi="Arial"/>
          <w:i w:val="false"/>
          <w:iCs w:val="false"/>
          <w:color w:val="000000"/>
          <w:sz w:val="24"/>
          <w:szCs w:val="24"/>
          <w:shd w:fill="auto"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i w:val="false"/>
          <w:iCs w:val="false"/>
          <w:color w:val="000000"/>
          <w:sz w:val="24"/>
          <w:szCs w:val="24"/>
          <w:shd w:fill="FFFFFF" w:val="clear"/>
          <w:lang w:val="pt-BR" w:eastAsia="zh-CN" w:bidi="ar-SA"/>
        </w:rPr>
        <w:t xml:space="preserve">2.4. </w:t>
      </w: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 xml:space="preserve">A entrega dos materiais deverá ocorrer, impreterivelmente, em até </w:t>
      </w:r>
      <w:r>
        <w:rPr>
          <w:rStyle w:val="Fontepargpadro"/>
          <w:rFonts w:eastAsia="Calibri" w:cs="arial" w:ascii="Arial" w:hAnsi="Arial"/>
          <w:b/>
          <w:bCs/>
          <w:i w:val="false"/>
          <w:iCs w:val="false"/>
          <w:caps w:val="false"/>
          <w:smallCaps w:val="false"/>
          <w:strike w:val="false"/>
          <w:dstrike w:val="false"/>
          <w:color w:val="000000"/>
          <w:sz w:val="24"/>
          <w:szCs w:val="24"/>
          <w:u w:val="none"/>
          <w:shd w:fill="FFFFFF" w:val="clear"/>
          <w:lang w:val="pt-BR" w:eastAsia="zh-CN" w:bidi="ar-SA"/>
        </w:rPr>
        <w:t>02 (dois) dias corridos</w:t>
      </w: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 xml:space="preserve"> após a solicitação da contratante, salvo finais de semana.</w:t>
      </w:r>
    </w:p>
    <w:p>
      <w:pPr>
        <w:pStyle w:val="ListParagraph"/>
        <w:bidi w:val="0"/>
        <w:spacing w:lineRule="auto" w:line="240" w:before="0" w:after="0"/>
        <w:ind w:left="0" w:right="0" w:hanging="0"/>
        <w:jc w:val="both"/>
        <w:rPr>
          <w:rStyle w:val="Fontepargpadro"/>
          <w:rFonts w:ascii="Arial" w:hAnsi="Arial" w:eastAsia="Calibri" w:cs="arial"/>
          <w:i w:val="false"/>
          <w:i w:val="false"/>
          <w:iCs w:val="false"/>
          <w:color w:val="000000"/>
          <w:sz w:val="24"/>
          <w:szCs w:val="24"/>
          <w:highlight w:val="none"/>
          <w:shd w:fill="FFFF00" w:val="clear"/>
          <w:lang w:val="pt-BR" w:eastAsia="zh-CN" w:bidi="ar-SA"/>
        </w:rPr>
      </w:pPr>
      <w:r>
        <w:rPr>
          <w:rFonts w:eastAsia="Calibri" w:cs="arial" w:ascii="Arial" w:hAnsi="Arial"/>
          <w:i w:val="false"/>
          <w:iCs w:val="false"/>
          <w:color w:val="000000"/>
          <w:sz w:val="24"/>
          <w:szCs w:val="24"/>
          <w:shd w:fill="FFFF00"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i w:val="false"/>
          <w:iCs w:val="false"/>
          <w:color w:val="000000"/>
          <w:sz w:val="24"/>
          <w:szCs w:val="24"/>
          <w:shd w:fill="auto" w:val="clear"/>
          <w:lang w:val="pt-BR" w:eastAsia="zh-CN" w:bidi="ar-SA"/>
        </w:rPr>
        <w:t xml:space="preserve">2.5. </w:t>
      </w:r>
      <w:r>
        <w:rPr>
          <w:rStyle w:val="Fontepargpadro"/>
          <w:rFonts w:eastAsia="Calibri" w:cs="arial" w:ascii="Arial" w:hAnsi="Arial"/>
          <w:b w:val="false"/>
          <w:bCs/>
          <w:i w:val="false"/>
          <w:iCs w:val="false"/>
          <w:caps w:val="false"/>
          <w:smallCaps w:val="false"/>
          <w:strike w:val="false"/>
          <w:dstrike w:val="false"/>
          <w:color w:val="000000"/>
          <w:sz w:val="24"/>
          <w:szCs w:val="24"/>
          <w:u w:val="none"/>
          <w:shd w:fill="auto" w:val="clear"/>
          <w:lang w:val="pt-BR" w:eastAsia="zh-CN" w:bidi="ar-SA"/>
        </w:rPr>
        <w:t>A contratada deverá fornecer o material e caixa correspondente, em regime de comoda</w:t>
      </w: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to, mediante o agendamento de cirurgia.</w:t>
      </w:r>
    </w:p>
    <w:p>
      <w:pPr>
        <w:pStyle w:val="ListParagraph"/>
        <w:bidi w:val="0"/>
        <w:spacing w:lineRule="auto" w:line="240" w:before="0" w:after="0"/>
        <w:ind w:left="0" w:right="0" w:hanging="0"/>
        <w:jc w:val="both"/>
        <w:rPr>
          <w:rStyle w:val="Fontepargpadro"/>
          <w:rFonts w:ascii="Arial" w:hAnsi="Arial" w:eastAsia="Calibri" w:cs="arial"/>
          <w:b w:val="false"/>
          <w:b w:val="false"/>
          <w:bCs/>
          <w:i w:val="false"/>
          <w:i w:val="false"/>
          <w:iCs w:val="false"/>
          <w:caps w:val="false"/>
          <w:smallCaps w:val="false"/>
          <w:strike w:val="false"/>
          <w:dstrike w:val="false"/>
          <w:color w:val="000000"/>
          <w:sz w:val="24"/>
          <w:szCs w:val="24"/>
          <w:u w:val="none"/>
          <w:shd w:fill="FFFFFF" w:val="clear"/>
          <w:lang w:val="pt-BR" w:eastAsia="zh-CN" w:bidi="ar-SA"/>
        </w:rPr>
      </w:pPr>
      <w:r>
        <w:rPr>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2.6. Os materiais deverão ser entregues em embalagens originais contendo a data e o n.º do lote de fabricação, prazo de validade para uso dos mesmos e outras informações de acordo com a legislação pertinente.</w:t>
      </w:r>
    </w:p>
    <w:p>
      <w:pPr>
        <w:pStyle w:val="ListParagraph"/>
        <w:bidi w:val="0"/>
        <w:spacing w:lineRule="auto" w:line="240" w:before="0" w:after="0"/>
        <w:ind w:left="0" w:right="0" w:hanging="0"/>
        <w:jc w:val="both"/>
        <w:rPr>
          <w:rStyle w:val="Fontepargpadro"/>
          <w:rFonts w:ascii="Arial" w:hAnsi="Arial" w:eastAsia="Calibri" w:cs="arial"/>
          <w:b w:val="false"/>
          <w:b w:val="false"/>
          <w:bCs/>
          <w:i w:val="false"/>
          <w:i w:val="false"/>
          <w:iCs w:val="false"/>
          <w:caps w:val="false"/>
          <w:smallCaps w:val="false"/>
          <w:strike w:val="false"/>
          <w:dstrike w:val="false"/>
          <w:color w:val="000000"/>
          <w:sz w:val="24"/>
          <w:szCs w:val="24"/>
          <w:u w:val="none"/>
          <w:shd w:fill="FFFFFF" w:val="clear"/>
          <w:lang w:val="pt-BR" w:eastAsia="zh-CN" w:bidi="ar-SA"/>
        </w:rPr>
      </w:pPr>
      <w:r>
        <w:rPr>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2.7. Os materiais poderão ser rejeitados, no todo ou em parte, quando em desacordo com as especificações constantes no Termo de Referência e na proposta, devendo ser substituídos no prazo de 02 (dois) dias corridos, salvo em finais de semana a contar da notificação enviada pelo Gestor contratual, às suas custas, sem prejuízo da aplicação das penalidades.</w:t>
      </w:r>
    </w:p>
    <w:p>
      <w:pPr>
        <w:pStyle w:val="ListParagraph"/>
        <w:bidi w:val="0"/>
        <w:spacing w:lineRule="auto" w:line="240" w:before="0" w:after="0"/>
        <w:ind w:left="0" w:right="0" w:hanging="0"/>
        <w:jc w:val="both"/>
        <w:rPr>
          <w:rStyle w:val="Fontepargpadro"/>
          <w:rFonts w:ascii="Arial" w:hAnsi="Arial" w:eastAsia="Calibri" w:cs="arial"/>
          <w:b w:val="false"/>
          <w:b w:val="false"/>
          <w:bCs/>
          <w:i w:val="false"/>
          <w:i w:val="false"/>
          <w:iCs w:val="false"/>
          <w:caps w:val="false"/>
          <w:smallCaps w:val="false"/>
          <w:strike w:val="false"/>
          <w:dstrike w:val="false"/>
          <w:color w:val="000000"/>
          <w:sz w:val="24"/>
          <w:szCs w:val="24"/>
          <w:u w:val="none"/>
          <w:shd w:fill="FFFFFF" w:val="clear"/>
          <w:lang w:val="pt-BR" w:eastAsia="zh-CN" w:bidi="ar-SA"/>
        </w:rPr>
      </w:pPr>
      <w:r>
        <w:rPr>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2.8. Todos os produtos deverão ter prazo de validade mínima de 12 (doze) meses, contados da data da entrega, àqueles cuja validade seja inferior, devendo neste caso, ter o prazo informado na proposta.</w:t>
      </w:r>
    </w:p>
    <w:p>
      <w:pPr>
        <w:pStyle w:val="ListParagraph"/>
        <w:bidi w:val="0"/>
        <w:spacing w:lineRule="auto" w:line="240" w:before="0" w:after="0"/>
        <w:ind w:left="0" w:right="0" w:hanging="0"/>
        <w:jc w:val="both"/>
        <w:rPr>
          <w:rStyle w:val="Fontepargpadro"/>
          <w:rFonts w:ascii="Arial" w:hAnsi="Arial" w:eastAsia="Calibri" w:cs="arial"/>
          <w:b w:val="false"/>
          <w:b w:val="false"/>
          <w:bCs/>
          <w:i w:val="false"/>
          <w:i w:val="false"/>
          <w:iCs w:val="false"/>
          <w:caps w:val="false"/>
          <w:smallCaps w:val="false"/>
          <w:strike w:val="false"/>
          <w:dstrike w:val="false"/>
          <w:color w:val="000000"/>
          <w:sz w:val="24"/>
          <w:szCs w:val="24"/>
          <w:u w:val="none"/>
          <w:shd w:fill="FFFFFF" w:val="clear"/>
          <w:lang w:val="pt-BR" w:eastAsia="zh-CN" w:bidi="ar-SA"/>
        </w:rPr>
      </w:pPr>
      <w:r>
        <w:rPr>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2.9. Todos e quaisquer avisos e comunicados deverão ser realizados por escrito. Será considerado inexistente quaisquer ajustes celebrados de outro modo.</w:t>
      </w:r>
    </w:p>
    <w:p>
      <w:pPr>
        <w:pStyle w:val="ListParagraph"/>
        <w:bidi w:val="0"/>
        <w:spacing w:lineRule="auto" w:line="240" w:before="0" w:after="0"/>
        <w:ind w:left="0" w:right="0" w:hanging="0"/>
        <w:jc w:val="both"/>
        <w:rPr>
          <w:rStyle w:val="Fontepargpadro"/>
          <w:rFonts w:ascii="Arial" w:hAnsi="Arial" w:eastAsia="Calibri" w:cs="arial"/>
          <w:b w:val="false"/>
          <w:b w:val="false"/>
          <w:bCs/>
          <w:i w:val="false"/>
          <w:i w:val="false"/>
          <w:iCs w:val="false"/>
          <w:caps w:val="false"/>
          <w:smallCaps w:val="false"/>
          <w:strike w:val="false"/>
          <w:dstrike w:val="false"/>
          <w:color w:val="000000"/>
          <w:sz w:val="24"/>
          <w:szCs w:val="24"/>
          <w:u w:val="none"/>
          <w:shd w:fill="FFFFFF" w:val="clear"/>
          <w:lang w:val="pt-BR" w:eastAsia="zh-CN" w:bidi="ar-SA"/>
        </w:rPr>
      </w:pPr>
      <w:r>
        <w:rPr>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2.10. A Contratada será obrigada a atender todos os pedidos efetuados durante a vigência da Ata de Registro de Preços.</w:t>
      </w:r>
    </w:p>
    <w:p>
      <w:pPr>
        <w:pStyle w:val="ListParagraph"/>
        <w:bidi w:val="0"/>
        <w:spacing w:lineRule="auto" w:line="240" w:before="0" w:after="0"/>
        <w:ind w:left="0" w:right="0" w:hanging="0"/>
        <w:jc w:val="both"/>
        <w:rPr>
          <w:rStyle w:val="Fontepargpadro"/>
          <w:rFonts w:ascii="Arial" w:hAnsi="Arial" w:eastAsia="Calibri" w:cs="arial"/>
          <w:b w:val="false"/>
          <w:b w:val="false"/>
          <w:bCs/>
          <w:i w:val="false"/>
          <w:i w:val="false"/>
          <w:iCs w:val="false"/>
          <w:caps w:val="false"/>
          <w:smallCaps w:val="false"/>
          <w:strike w:val="false"/>
          <w:dstrike w:val="false"/>
          <w:color w:val="000000"/>
          <w:sz w:val="24"/>
          <w:szCs w:val="24"/>
          <w:u w:val="none"/>
          <w:shd w:fill="FFFFFF" w:val="clear"/>
          <w:lang w:val="pt-BR" w:eastAsia="zh-CN" w:bidi="ar-SA"/>
        </w:rPr>
      </w:pPr>
      <w:r>
        <w:rPr>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r>
    </w:p>
    <w:p>
      <w:pPr>
        <w:pStyle w:val="ListParagraph"/>
        <w:bidi w:val="0"/>
        <w:spacing w:lineRule="auto" w:line="240" w:before="0" w:after="0"/>
        <w:ind w:left="0" w:right="0" w:hanging="0"/>
        <w:jc w:val="both"/>
        <w:rPr/>
      </w:pPr>
      <w:r>
        <w:rPr>
          <w:rStyle w:val="Fontepargpadro"/>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t>2.11. Deverá ser disponibilizado treinamento específico quanto ao manuseio dos instrumentais quando solicitado pela contratante.</w:t>
      </w:r>
    </w:p>
    <w:p>
      <w:pPr>
        <w:pStyle w:val="ListParagraph"/>
        <w:bidi w:val="0"/>
        <w:spacing w:lineRule="auto" w:line="240" w:before="0" w:after="0"/>
        <w:ind w:left="0" w:right="0" w:hanging="0"/>
        <w:jc w:val="both"/>
        <w:rPr>
          <w:rStyle w:val="Fontepargpadro"/>
          <w:rFonts w:ascii="Arial" w:hAnsi="Arial" w:eastAsia="Calibri" w:cs="arial"/>
          <w:b w:val="false"/>
          <w:b w:val="false"/>
          <w:bCs/>
          <w:i w:val="false"/>
          <w:i w:val="false"/>
          <w:iCs w:val="false"/>
          <w:caps w:val="false"/>
          <w:smallCaps w:val="false"/>
          <w:strike w:val="false"/>
          <w:dstrike w:val="false"/>
          <w:color w:val="000000"/>
          <w:sz w:val="24"/>
          <w:szCs w:val="24"/>
          <w:u w:val="none"/>
          <w:shd w:fill="FFFFFF" w:val="clear"/>
          <w:lang w:val="pt-BR" w:eastAsia="zh-CN" w:bidi="ar-SA"/>
        </w:rPr>
      </w:pPr>
      <w:r>
        <w:rPr>
          <w:rFonts w:eastAsia="Calibri" w:cs="arial" w:ascii="Arial" w:hAnsi="Arial"/>
          <w:b w:val="false"/>
          <w:bCs/>
          <w:i w:val="false"/>
          <w:iCs w:val="false"/>
          <w:caps w:val="false"/>
          <w:smallCaps w:val="false"/>
          <w:strike w:val="false"/>
          <w:dstrike w:val="false"/>
          <w:color w:val="000000"/>
          <w:sz w:val="24"/>
          <w:szCs w:val="24"/>
          <w:u w:val="none"/>
          <w:shd w:fill="FFFFFF" w:val="clear"/>
          <w:lang w:val="pt-BR" w:eastAsia="zh-CN" w:bidi="ar-SA"/>
        </w:rPr>
      </w:r>
    </w:p>
    <w:p>
      <w:pPr>
        <w:pStyle w:val="Normal"/>
        <w:bidi w:val="0"/>
        <w:spacing w:lineRule="auto" w:line="240" w:before="0" w:after="0"/>
        <w:ind w:left="0" w:right="0" w:hanging="0"/>
        <w:jc w:val="both"/>
        <w:rPr>
          <w:rFonts w:ascii="Arial" w:hAnsi="Arial" w:cs="arial"/>
          <w:color w:val="000000"/>
          <w:sz w:val="24"/>
          <w:szCs w:val="24"/>
          <w:highlight w:val="white"/>
        </w:rPr>
      </w:pPr>
      <w:r>
        <w:rPr>
          <w:rStyle w:val="Fontepargpadro"/>
          <w:rFonts w:eastAsia="Calibri" w:cs="arial" w:ascii="Arial" w:hAnsi="Arial"/>
          <w:i w:val="false"/>
          <w:iCs w:val="false"/>
          <w:color w:val="000000"/>
          <w:sz w:val="24"/>
          <w:szCs w:val="24"/>
          <w:shd w:fill="FFFFFF" w:val="clear"/>
          <w:lang w:val="pt-BR" w:eastAsia="zh-CN" w:bidi="ar-SA"/>
        </w:rPr>
        <w:t>2.12. Os materiais deverão ser entregues … (</w:t>
      </w:r>
      <w:r>
        <w:rPr>
          <w:rStyle w:val="Fontepargpadro"/>
          <w:rFonts w:eastAsia="Calibri" w:cs="arial" w:ascii="Arial" w:hAnsi="Arial"/>
          <w:i w:val="false"/>
          <w:iCs w:val="false"/>
          <w:color w:val="FF3333"/>
          <w:sz w:val="24"/>
          <w:szCs w:val="24"/>
          <w:shd w:fill="FFFFFF" w:val="clear"/>
          <w:lang w:val="pt-BR" w:eastAsia="zh-CN" w:bidi="ar-SA"/>
        </w:rPr>
        <w:t>inserir endereço completo e horários de entrega</w:t>
      </w:r>
      <w:r>
        <w:rPr>
          <w:rStyle w:val="Fontepargpadro"/>
          <w:rFonts w:eastAsia="Calibri" w:cs="arial" w:ascii="Arial" w:hAnsi="Arial"/>
          <w:i w:val="false"/>
          <w:iCs w:val="false"/>
          <w:color w:val="000000"/>
          <w:sz w:val="24"/>
          <w:szCs w:val="24"/>
          <w:shd w:fill="FFFFFF" w:val="clear"/>
          <w:lang w:val="pt-BR" w:eastAsia="zh-CN" w:bidi="ar-SA"/>
        </w:rPr>
        <w:t>), sem nenhum ônus para o Órgão.</w:t>
      </w:r>
    </w:p>
    <w:p>
      <w:pPr>
        <w:pStyle w:val="Normal"/>
        <w:bidi w:val="0"/>
        <w:spacing w:lineRule="auto" w:line="240" w:before="0" w:after="0"/>
        <w:ind w:left="0" w:right="0" w:hanging="0"/>
        <w:jc w:val="both"/>
        <w:rPr>
          <w:rStyle w:val="Fontepargpadro"/>
          <w:rFonts w:eastAsia="Calibri"/>
          <w:i w:val="false"/>
          <w:i w:val="false"/>
          <w:iCs w:val="false"/>
          <w:lang w:val="pt-BR" w:eastAsia="zh-CN" w:bidi="ar-SA"/>
        </w:rPr>
      </w:pPr>
      <w:r>
        <w:rPr>
          <w:rFonts w:eastAsia="Calibri"/>
          <w:i w:val="false"/>
          <w:iCs w:val="false"/>
          <w:lang w:val="pt-BR" w:eastAsia="zh-CN" w:bidi="ar-SA"/>
        </w:rPr>
      </w:r>
    </w:p>
    <w:p>
      <w:pPr>
        <w:pStyle w:val="Normal"/>
        <w:bidi w:val="0"/>
        <w:spacing w:lineRule="auto" w:line="240" w:before="0" w:after="0"/>
        <w:ind w:left="0" w:right="0" w:hanging="0"/>
        <w:jc w:val="both"/>
        <w:rPr>
          <w:rFonts w:ascii="Arial" w:hAnsi="Arial" w:cs="arial"/>
          <w:color w:val="000000"/>
          <w:sz w:val="24"/>
          <w:szCs w:val="24"/>
          <w:highlight w:val="white"/>
        </w:rPr>
      </w:pPr>
      <w:r>
        <w:rPr>
          <w:rStyle w:val="Fontepargpadro"/>
          <w:rFonts w:eastAsia="Calibri" w:cs="arial" w:ascii="Arial" w:hAnsi="Arial"/>
          <w:b/>
          <w:bCs/>
          <w:i w:val="false"/>
          <w:iCs w:val="false"/>
          <w:color w:val="000000"/>
          <w:sz w:val="24"/>
          <w:szCs w:val="24"/>
          <w:shd w:fill="FFFFFF" w:val="clear"/>
          <w:lang w:val="pt-BR" w:eastAsia="zh-CN" w:bidi="ar-SA"/>
        </w:rPr>
        <w:t>3.  ADEQUAÇÃO ORÇAMENTÁRIA</w:t>
      </w:r>
    </w:p>
    <w:p>
      <w:pPr>
        <w:pStyle w:val="Normal"/>
        <w:bidi w:val="0"/>
        <w:spacing w:lineRule="auto" w:line="240" w:before="0" w:after="0"/>
        <w:ind w:left="0" w:right="0" w:hanging="0"/>
        <w:jc w:val="both"/>
        <w:rPr>
          <w:rStyle w:val="Fontepargpadro"/>
          <w:rFonts w:eastAsia="Calibri"/>
          <w:i w:val="false"/>
          <w:i w:val="false"/>
          <w:iCs w:val="false"/>
          <w:lang w:val="pt-BR" w:eastAsia="zh-CN" w:bidi="ar-SA"/>
        </w:rPr>
      </w:pPr>
      <w:r>
        <w:rPr>
          <w:rFonts w:eastAsia="Calibri"/>
          <w:i w:val="false"/>
          <w:iCs w:val="false"/>
          <w:lang w:val="pt-BR" w:eastAsia="zh-CN" w:bidi="ar-SA"/>
        </w:rPr>
      </w:r>
    </w:p>
    <w:p>
      <w:pPr>
        <w:pStyle w:val="Normal"/>
        <w:bidi w:val="0"/>
        <w:spacing w:lineRule="auto" w:line="240" w:before="0" w:after="0"/>
        <w:ind w:left="0" w:right="0" w:hanging="0"/>
        <w:jc w:val="both"/>
        <w:rPr>
          <w:rFonts w:ascii="Arial" w:hAnsi="Arial"/>
          <w:color w:val="000000"/>
        </w:rPr>
      </w:pPr>
      <w:r>
        <w:rPr>
          <w:rStyle w:val="Fontepargpadro"/>
          <w:rFonts w:eastAsia="Calibri" w:cs="arial" w:ascii="Arial" w:hAnsi="Arial"/>
          <w:i w:val="false"/>
          <w:iCs w:val="false"/>
          <w:color w:val="000000"/>
          <w:sz w:val="24"/>
          <w:szCs w:val="24"/>
          <w:shd w:fill="FFFFFF" w:val="clear"/>
          <w:lang w:val="pt-BR" w:eastAsia="zh-CN" w:bidi="ar-SA"/>
        </w:rPr>
        <w:t>3.1. As despesas decorrentes da presente contratação correrão à conta de recursos específicos consignados na Lei Orçamentária Anual.</w:t>
      </w:r>
    </w:p>
    <w:p>
      <w:pPr>
        <w:pStyle w:val="ListParagraph"/>
        <w:bidi w:val="0"/>
        <w:spacing w:lineRule="auto" w:line="240" w:before="0" w:after="0"/>
        <w:ind w:left="0" w:right="0" w:hanging="0"/>
        <w:jc w:val="both"/>
        <w:rPr>
          <w:rStyle w:val="Fontepargpadro"/>
          <w:rFonts w:ascii="Arial" w:hAnsi="Arial" w:eastAsia="Calibri" w:cs="arial"/>
          <w:i w:val="false"/>
          <w:i w:val="false"/>
          <w:iCs w:val="false"/>
          <w:color w:val="000000"/>
          <w:sz w:val="24"/>
          <w:szCs w:val="24"/>
          <w:lang w:val="pt-BR" w:eastAsia="zh-CN" w:bidi="ar-SA"/>
        </w:rPr>
      </w:pPr>
      <w:r>
        <w:rPr>
          <w:rFonts w:eastAsia="Calibri" w:cs="arial" w:ascii="Arial" w:hAnsi="Arial"/>
          <w:i w:val="false"/>
          <w:iCs w:val="false"/>
          <w:color w:val="000000"/>
          <w:sz w:val="24"/>
          <w:szCs w:val="24"/>
          <w:lang w:val="pt-BR" w:eastAsia="zh-CN" w:bidi="ar-SA"/>
        </w:rPr>
      </w:r>
    </w:p>
    <w:p>
      <w:pPr>
        <w:pStyle w:val="Normal"/>
        <w:bidi w:val="0"/>
        <w:spacing w:lineRule="auto" w:line="240" w:before="0" w:after="0"/>
        <w:ind w:left="0" w:right="0" w:hanging="0"/>
        <w:jc w:val="left"/>
        <w:rPr>
          <w:rFonts w:ascii="Arial" w:hAnsi="Arial"/>
          <w:color w:val="000000"/>
        </w:rPr>
      </w:pPr>
      <w:r>
        <w:rPr>
          <w:rStyle w:val="Fontepargpadro"/>
          <w:rFonts w:eastAsia="Calibri" w:cs="arial" w:ascii="Arial" w:hAnsi="Arial"/>
          <w:i w:val="false"/>
          <w:iCs w:val="false"/>
          <w:color w:val="000000"/>
          <w:sz w:val="24"/>
          <w:szCs w:val="24"/>
          <w:shd w:fill="FFFFFF" w:val="clear"/>
          <w:lang w:val="pt-BR" w:eastAsia="zh-CN" w:bidi="ar-SA"/>
        </w:rPr>
        <w:t>3.2. A contratação será atendida pela seguinte dotação:</w:t>
      </w:r>
    </w:p>
    <w:p>
      <w:pPr>
        <w:pStyle w:val="Normal"/>
        <w:bidi w:val="0"/>
        <w:spacing w:lineRule="auto" w:line="240" w:before="0" w:after="0"/>
        <w:ind w:left="0" w:right="0" w:hanging="0"/>
        <w:jc w:val="left"/>
        <w:rPr>
          <w:rFonts w:ascii="Arial" w:hAnsi="Arial"/>
          <w:color w:val="000000"/>
        </w:rPr>
      </w:pPr>
      <w:r>
        <w:rPr>
          <w:rFonts w:ascii="Arial" w:hAnsi="Arial"/>
          <w:color w:val="000000"/>
        </w:rPr>
      </w:r>
    </w:p>
    <w:p>
      <w:pPr>
        <w:pStyle w:val="Normal"/>
        <w:bidi w:val="0"/>
        <w:spacing w:lineRule="auto" w:line="240" w:before="0" w:after="0"/>
        <w:ind w:left="0" w:right="0" w:hanging="0"/>
        <w:jc w:val="center"/>
        <w:rPr>
          <w:rFonts w:ascii="Arial" w:hAnsi="Arial"/>
          <w:b/>
          <w:b/>
          <w:color w:val="000000"/>
          <w:highlight w:val="yellow"/>
        </w:rPr>
      </w:pPr>
      <w:r>
        <w:rPr>
          <w:rStyle w:val="Fontepargpadro"/>
          <w:rFonts w:eastAsia="Calibri" w:cs="arial" w:ascii="Arial" w:hAnsi="Arial"/>
          <w:b/>
          <w:i w:val="false"/>
          <w:iCs w:val="false"/>
          <w:color w:val="FF3333"/>
          <w:sz w:val="24"/>
          <w:szCs w:val="24"/>
          <w:shd w:fill="FFFFFF" w:val="clear"/>
          <w:lang w:val="pt-BR" w:eastAsia="zh-CN" w:bidi="ar-SA"/>
        </w:rPr>
        <w:t>Informar a dotação orçamentária disponível para a aquisição</w:t>
      </w:r>
    </w:p>
    <w:p>
      <w:pPr>
        <w:pStyle w:val="Normal"/>
        <w:bidi w:val="0"/>
        <w:spacing w:lineRule="auto" w:line="240" w:before="0" w:after="0"/>
        <w:ind w:left="0" w:right="0" w:hanging="0"/>
        <w:jc w:val="center"/>
        <w:rPr>
          <w:rStyle w:val="Fontepargpadro"/>
          <w:sz w:val="18"/>
          <w:szCs w:val="18"/>
        </w:rPr>
      </w:pPr>
      <w:r>
        <w:rPr>
          <w:sz w:val="18"/>
          <w:szCs w:val="18"/>
        </w:rPr>
      </w:r>
    </w:p>
    <w:p>
      <w:pPr>
        <w:pStyle w:val="Normal"/>
        <w:bidi w:val="0"/>
        <w:spacing w:lineRule="auto" w:line="240" w:before="0" w:after="0"/>
        <w:ind w:left="0" w:right="0" w:hanging="0"/>
        <w:jc w:val="both"/>
        <w:rPr/>
      </w:pPr>
      <w:r>
        <w:rPr>
          <w:rStyle w:val="Fontepargpadro"/>
          <w:rFonts w:eastAsia="Calibri" w:cs="arial" w:ascii="Arial" w:hAnsi="Arial"/>
          <w:i w:val="false"/>
          <w:iCs w:val="false"/>
          <w:color w:val="000000"/>
          <w:sz w:val="24"/>
          <w:szCs w:val="24"/>
          <w:shd w:fill="FFFFFF" w:val="clear"/>
          <w:lang w:val="pt-BR" w:eastAsia="zh-CN" w:bidi="ar-SA"/>
        </w:rPr>
        <w:t>3.3. Eventual dotação relativa aos exercícios financeiros subsequentes será indicada após aprovação da Lei Orçamentária respectiva e liberação dos créditos correspondentes.</w:t>
      </w:r>
    </w:p>
    <w:p>
      <w:pPr>
        <w:pStyle w:val="Normal"/>
        <w:bidi w:val="0"/>
        <w:spacing w:lineRule="auto" w:line="240" w:before="0" w:after="0"/>
        <w:ind w:left="0" w:right="0" w:hanging="0"/>
        <w:jc w:val="both"/>
        <w:rPr>
          <w:rStyle w:val="Fontepargpadro"/>
          <w:rFonts w:ascii="Arial" w:hAnsi="Arial" w:eastAsia="Calibri" w:cs="arial"/>
          <w:i w:val="false"/>
          <w:i w:val="false"/>
          <w:iCs w:val="false"/>
          <w:color w:val="000000"/>
          <w:sz w:val="24"/>
          <w:szCs w:val="24"/>
          <w:highlight w:val="white"/>
          <w:shd w:fill="FFFFFF" w:val="clear"/>
          <w:lang w:val="pt-BR" w:eastAsia="zh-CN" w:bidi="ar-SA"/>
        </w:rPr>
      </w:pPr>
      <w:r>
        <w:rPr>
          <w:rFonts w:eastAsia="Calibri" w:cs="arial" w:ascii="Arial" w:hAnsi="Arial"/>
          <w:i w:val="false"/>
          <w:iCs w:val="false"/>
          <w:color w:val="000000"/>
          <w:sz w:val="24"/>
          <w:szCs w:val="24"/>
          <w:highlight w:val="white"/>
          <w:shd w:fill="FFFFFF" w:val="clear"/>
          <w:lang w:val="pt-BR" w:eastAsia="zh-CN" w:bidi="ar-SA"/>
        </w:rPr>
      </w:r>
    </w:p>
    <w:p>
      <w:pPr>
        <w:pStyle w:val="Normal"/>
        <w:bidi w:val="0"/>
        <w:spacing w:lineRule="auto" w:line="240" w:before="0" w:after="0"/>
        <w:ind w:left="0" w:right="0" w:hanging="0"/>
        <w:jc w:val="both"/>
        <w:rPr/>
      </w:pPr>
      <w:r>
        <w:rPr>
          <w:rStyle w:val="Fontepargpadro"/>
          <w:rFonts w:eastAsia="Calibri" w:cs="arial" w:ascii="Arial" w:hAnsi="Arial"/>
          <w:b/>
          <w:bCs/>
          <w:i w:val="false"/>
          <w:iCs w:val="false"/>
          <w:color w:val="000000"/>
          <w:sz w:val="24"/>
          <w:szCs w:val="24"/>
          <w:highlight w:val="white"/>
          <w:shd w:fill="FFFFFF" w:val="clear"/>
          <w:lang w:val="pt-BR" w:eastAsia="zh-CN" w:bidi="ar-SA"/>
        </w:rPr>
        <w:t>Obs.:</w:t>
      </w:r>
      <w:r>
        <w:rPr>
          <w:rStyle w:val="Fontepargpadro"/>
          <w:rFonts w:eastAsia="Calibri" w:cs="arial" w:ascii="Arial" w:hAnsi="Arial"/>
          <w:i w:val="false"/>
          <w:iCs w:val="false"/>
          <w:color w:val="000000"/>
          <w:sz w:val="24"/>
          <w:szCs w:val="24"/>
          <w:highlight w:val="white"/>
          <w:shd w:fill="FFFFFF" w:val="clear"/>
          <w:lang w:val="pt-BR" w:eastAsia="zh-CN" w:bidi="ar-SA"/>
        </w:rPr>
        <w:t xml:space="preserve"> Deverá ser encaminhado o Documento de Disponibilidade Orçamentária devidamente assinado.</w:t>
      </w:r>
    </w:p>
    <w:p>
      <w:pPr>
        <w:pStyle w:val="Normal"/>
        <w:bidi w:val="0"/>
        <w:spacing w:lineRule="auto" w:line="240" w:before="0" w:after="0"/>
        <w:ind w:left="0" w:right="0" w:hanging="0"/>
        <w:jc w:val="both"/>
        <w:rPr>
          <w:rStyle w:val="Fontepargpadro"/>
          <w:rFonts w:ascii="Arial" w:hAnsi="Arial" w:eastAsia="Calibri" w:cs="arial"/>
          <w:i w:val="false"/>
          <w:i w:val="false"/>
          <w:iCs w:val="false"/>
          <w:color w:val="000000"/>
          <w:sz w:val="24"/>
          <w:szCs w:val="24"/>
          <w:highlight w:val="white"/>
          <w:shd w:fill="FFFFFF" w:val="clear"/>
          <w:lang w:val="pt-BR" w:eastAsia="zh-CN" w:bidi="ar-SA"/>
        </w:rPr>
      </w:pPr>
      <w:r>
        <w:rPr>
          <w:rFonts w:eastAsia="Calibri" w:cs="arial" w:ascii="Arial" w:hAnsi="Arial"/>
          <w:i w:val="false"/>
          <w:iCs w:val="false"/>
          <w:color w:val="000000"/>
          <w:sz w:val="24"/>
          <w:szCs w:val="24"/>
          <w:highlight w:val="white"/>
          <w:shd w:fill="FFFFFF" w:val="clear"/>
          <w:lang w:val="pt-BR" w:eastAsia="zh-CN" w:bidi="ar-SA"/>
        </w:rPr>
      </w:r>
    </w:p>
    <w:p>
      <w:pPr>
        <w:pStyle w:val="Normal"/>
        <w:bidi w:val="0"/>
        <w:spacing w:lineRule="auto" w:line="240" w:before="0" w:after="0"/>
        <w:ind w:left="0" w:right="0" w:hanging="0"/>
        <w:jc w:val="both"/>
        <w:rPr>
          <w:rStyle w:val="Fontepargpadro"/>
          <w:rFonts w:ascii="Arial" w:hAnsi="Arial" w:eastAsia="Calibri" w:cs="arial"/>
          <w:i w:val="false"/>
          <w:i w:val="false"/>
          <w:iCs w:val="false"/>
          <w:color w:val="000000"/>
          <w:sz w:val="24"/>
          <w:szCs w:val="24"/>
          <w:highlight w:val="white"/>
          <w:shd w:fill="FFFFFF" w:val="clear"/>
          <w:lang w:val="pt-BR" w:eastAsia="zh-CN" w:bidi="ar-SA"/>
        </w:rPr>
      </w:pPr>
      <w:r>
        <w:rPr>
          <w:rFonts w:eastAsia="Calibri" w:cs="arial" w:ascii="Arial" w:hAnsi="Arial"/>
          <w:i w:val="false"/>
          <w:iCs w:val="false"/>
          <w:color w:val="000000"/>
          <w:sz w:val="24"/>
          <w:szCs w:val="24"/>
          <w:highlight w:val="white"/>
          <w:shd w:fill="FFFFFF" w:val="clear"/>
          <w:lang w:val="pt-BR" w:eastAsia="zh-CN" w:bidi="ar-SA"/>
        </w:rPr>
      </w:r>
    </w:p>
    <w:p>
      <w:pPr>
        <w:pStyle w:val="Normal"/>
        <w:bidi w:val="0"/>
        <w:spacing w:lineRule="auto" w:line="240" w:before="0" w:after="0"/>
        <w:ind w:left="0" w:right="0" w:hanging="0"/>
        <w:jc w:val="both"/>
        <w:rPr>
          <w:rStyle w:val="Fontepargpadro"/>
          <w:rFonts w:ascii="Arial" w:hAnsi="Arial" w:eastAsia="Calibri" w:cs="arial"/>
          <w:i w:val="false"/>
          <w:i w:val="false"/>
          <w:iCs w:val="false"/>
          <w:color w:val="000000"/>
          <w:sz w:val="24"/>
          <w:szCs w:val="24"/>
          <w:highlight w:val="white"/>
          <w:shd w:fill="FFFFFF" w:val="clear"/>
          <w:lang w:val="pt-BR" w:eastAsia="zh-CN" w:bidi="ar-SA"/>
        </w:rPr>
      </w:pPr>
      <w:r>
        <w:rPr>
          <w:rFonts w:eastAsia="Calibri" w:cs="arial" w:ascii="Arial" w:hAnsi="Arial"/>
          <w:i w:val="false"/>
          <w:iCs w:val="false"/>
          <w:color w:val="000000"/>
          <w:sz w:val="24"/>
          <w:szCs w:val="24"/>
          <w:highlight w:val="white"/>
          <w:shd w:fill="FFFFFF" w:val="clear"/>
          <w:lang w:val="pt-BR" w:eastAsia="zh-CN" w:bidi="ar-SA"/>
        </w:rPr>
      </w:r>
    </w:p>
    <w:p>
      <w:pPr>
        <w:pStyle w:val="Normal"/>
        <w:bidi w:val="0"/>
        <w:spacing w:lineRule="auto" w:line="240" w:before="0" w:after="0"/>
        <w:ind w:left="0" w:right="0" w:hanging="0"/>
        <w:jc w:val="both"/>
        <w:rPr/>
      </w:pPr>
      <w:r>
        <w:rPr>
          <w:rStyle w:val="Fontepargpadro"/>
          <w:rFonts w:eastAsia="Calibri" w:cs="arial" w:ascii="Arial" w:hAnsi="Arial"/>
          <w:b/>
          <w:bCs/>
          <w:i w:val="false"/>
          <w:iCs w:val="false"/>
          <w:color w:val="000000"/>
          <w:sz w:val="24"/>
          <w:szCs w:val="24"/>
          <w:shd w:fill="FFFFFF" w:val="clear"/>
          <w:lang w:val="pt-BR" w:eastAsia="zh-CN" w:bidi="ar-SA"/>
        </w:rPr>
        <w:t>4. GESTÃO E FISCALIZAÇÃO CONTRATUAL</w:t>
      </w:r>
    </w:p>
    <w:p>
      <w:pPr>
        <w:pStyle w:val="Normal"/>
        <w:bidi w:val="0"/>
        <w:spacing w:lineRule="auto" w:line="240" w:before="0" w:after="0"/>
        <w:ind w:left="0" w:right="0" w:hanging="0"/>
        <w:jc w:val="both"/>
        <w:rPr>
          <w:rStyle w:val="Fontepargpadro"/>
          <w:rFonts w:ascii="Arial" w:hAnsi="Arial" w:eastAsia="Calibri" w:cs="arial"/>
          <w:b/>
          <w:b/>
          <w:bCs/>
          <w:i w:val="false"/>
          <w:i w:val="false"/>
          <w:iCs w:val="false"/>
          <w:color w:val="000000"/>
          <w:sz w:val="24"/>
          <w:szCs w:val="24"/>
          <w:highlight w:val="white"/>
          <w:lang w:val="pt-BR" w:eastAsia="zh-CN" w:bidi="ar-SA"/>
        </w:rPr>
      </w:pPr>
      <w:r>
        <w:rPr>
          <w:rFonts w:eastAsia="Calibri" w:cs="arial" w:ascii="Arial" w:hAnsi="Arial"/>
          <w:b/>
          <w:bCs/>
          <w:i w:val="false"/>
          <w:iCs w:val="false"/>
          <w:color w:val="000000"/>
          <w:sz w:val="24"/>
          <w:szCs w:val="24"/>
          <w:highlight w:val="white"/>
          <w:lang w:val="pt-BR" w:eastAsia="zh-CN" w:bidi="ar-SA"/>
        </w:rPr>
      </w:r>
    </w:p>
    <w:p>
      <w:pPr>
        <w:pStyle w:val="Normal"/>
        <w:bidi w:val="0"/>
        <w:spacing w:lineRule="auto" w:line="240" w:before="0" w:after="0"/>
        <w:ind w:left="0" w:right="0" w:hanging="0"/>
        <w:jc w:val="both"/>
        <w:rPr/>
      </w:pPr>
      <w:r>
        <w:rPr>
          <w:rStyle w:val="Fontepargpadro"/>
          <w:rFonts w:eastAsia="Calibri" w:cs="arial" w:ascii="Arial" w:hAnsi="Arial"/>
          <w:b w:val="false"/>
          <w:bCs w:val="false"/>
          <w:i w:val="false"/>
          <w:iCs w:val="false"/>
          <w:color w:val="000000"/>
          <w:sz w:val="24"/>
          <w:szCs w:val="24"/>
          <w:shd w:fill="FFFFFF" w:val="clear"/>
          <w:lang w:val="pt-BR" w:eastAsia="zh-CN" w:bidi="ar-SA"/>
        </w:rPr>
        <w:t>4.1. A gestão da contratação será efetuada pelo(a) Sr(a) …. , bem como a fiscalização técnica será realizada pelo(a) Sr(a). …., nomeados pela Portaria nº …/202 .</w:t>
      </w:r>
      <w:r>
        <w:rPr>
          <w:rStyle w:val="Fontepargpadro"/>
          <w:rFonts w:eastAsia="Calibri" w:cs="arial" w:ascii="Arial" w:hAnsi="Arial"/>
          <w:b w:val="false"/>
          <w:bCs w:val="false"/>
          <w:i w:val="false"/>
          <w:iCs w:val="false"/>
          <w:color w:val="FF0000"/>
          <w:sz w:val="24"/>
          <w:szCs w:val="24"/>
          <w:shd w:fill="FFFFFF" w:val="clear"/>
          <w:lang w:val="pt-BR" w:eastAsia="zh-CN" w:bidi="ar-SA"/>
        </w:rPr>
        <w:t xml:space="preserve"> (informar os nomes e portaria de nomeação).</w:t>
      </w:r>
    </w:p>
    <w:p>
      <w:pPr>
        <w:pStyle w:val="Normal"/>
        <w:bidi w:val="0"/>
        <w:spacing w:lineRule="auto" w:line="240" w:before="0" w:after="0"/>
        <w:ind w:left="0" w:right="0" w:hanging="0"/>
        <w:jc w:val="both"/>
        <w:rPr>
          <w:rStyle w:val="Fontepargpadro"/>
          <w:rFonts w:ascii="Arial" w:hAnsi="Arial" w:eastAsia="Calibri" w:cs="arial"/>
          <w:i w:val="false"/>
          <w:i w:val="false"/>
          <w:iCs w:val="false"/>
          <w:color w:val="000000"/>
          <w:sz w:val="24"/>
          <w:szCs w:val="24"/>
          <w:highlight w:val="white"/>
          <w:lang w:val="pt-BR" w:eastAsia="zh-CN" w:bidi="ar-SA"/>
        </w:rPr>
      </w:pPr>
      <w:r>
        <w:rPr>
          <w:rFonts w:eastAsia="Calibri" w:cs="arial" w:ascii="Arial" w:hAnsi="Arial"/>
          <w:i w:val="false"/>
          <w:iCs w:val="false"/>
          <w:color w:val="000000"/>
          <w:sz w:val="24"/>
          <w:szCs w:val="24"/>
          <w:highlight w:val="white"/>
          <w:lang w:val="pt-BR" w:eastAsia="zh-CN" w:bidi="ar-SA"/>
        </w:rPr>
      </w:r>
    </w:p>
    <w:p>
      <w:pPr>
        <w:pStyle w:val="Normal"/>
        <w:bidi w:val="0"/>
        <w:spacing w:lineRule="auto" w:line="240" w:before="0" w:after="0"/>
        <w:ind w:left="0" w:right="0" w:hanging="0"/>
        <w:jc w:val="both"/>
        <w:rPr/>
      </w:pPr>
      <w:r>
        <w:rPr>
          <w:rStyle w:val="Fontepargpadro"/>
          <w:rFonts w:eastAsia="Calibri" w:cs="arial" w:ascii="Arial" w:hAnsi="Arial"/>
          <w:b/>
          <w:bCs/>
          <w:i w:val="false"/>
          <w:iCs w:val="false"/>
          <w:color w:val="000000"/>
          <w:sz w:val="24"/>
          <w:szCs w:val="24"/>
          <w:shd w:fill="FFFFFF" w:val="clear"/>
          <w:lang w:val="pt-BR" w:eastAsia="zh-CN" w:bidi="ar-SA"/>
        </w:rPr>
        <w:t>5. CONDIÇÕES DE PAGAMENTO</w:t>
      </w:r>
    </w:p>
    <w:p>
      <w:pPr>
        <w:pStyle w:val="Normal"/>
        <w:bidi w:val="0"/>
        <w:spacing w:lineRule="auto" w:line="240" w:before="0" w:after="0"/>
        <w:ind w:left="0" w:right="0" w:hanging="0"/>
        <w:jc w:val="both"/>
        <w:rPr>
          <w:rStyle w:val="Fontepargpadro"/>
          <w:rFonts w:ascii="Arial" w:hAnsi="Arial" w:eastAsia="Calibri" w:cs="arial"/>
          <w:b/>
          <w:b/>
          <w:bCs/>
          <w:i w:val="false"/>
          <w:i w:val="false"/>
          <w:iCs w:val="false"/>
          <w:color w:val="000000"/>
          <w:sz w:val="24"/>
          <w:szCs w:val="24"/>
          <w:highlight w:val="white"/>
          <w:lang w:val="pt-BR" w:eastAsia="zh-CN" w:bidi="ar-SA"/>
        </w:rPr>
      </w:pPr>
      <w:r>
        <w:rPr>
          <w:rFonts w:eastAsia="Calibri" w:cs="arial" w:ascii="Arial" w:hAnsi="Arial"/>
          <w:b/>
          <w:bCs/>
          <w:i w:val="false"/>
          <w:iCs w:val="false"/>
          <w:color w:val="000000"/>
          <w:sz w:val="24"/>
          <w:szCs w:val="24"/>
          <w:highlight w:val="white"/>
          <w:lang w:val="pt-BR" w:eastAsia="zh-CN" w:bidi="ar-SA"/>
        </w:rPr>
      </w:r>
    </w:p>
    <w:p>
      <w:pPr>
        <w:pStyle w:val="Normal"/>
        <w:bidi w:val="0"/>
        <w:spacing w:lineRule="auto" w:line="240" w:before="0" w:after="0"/>
        <w:ind w:left="0" w:right="0" w:hanging="0"/>
        <w:jc w:val="both"/>
        <w:rPr/>
      </w:pPr>
      <w:r>
        <w:rPr>
          <w:rStyle w:val="Fontepargpadro"/>
          <w:rFonts w:eastAsia="Calibri" w:cs="arial" w:ascii="Arial" w:hAnsi="Arial"/>
          <w:b w:val="false"/>
          <w:bCs w:val="false"/>
          <w:i w:val="false"/>
          <w:iCs w:val="false"/>
          <w:color w:val="000000"/>
          <w:sz w:val="24"/>
          <w:szCs w:val="24"/>
          <w:shd w:fill="FFFFFF" w:val="clear"/>
          <w:lang w:val="pt-BR" w:eastAsia="zh-CN" w:bidi="ar-SA"/>
        </w:rPr>
        <w:t xml:space="preserve">5.1. Os pagamentos serão efetuados conforme … </w:t>
      </w:r>
      <w:r>
        <w:rPr>
          <w:rStyle w:val="Fontepargpadro"/>
          <w:rFonts w:eastAsia="Calibri" w:cs="arial" w:ascii="Arial" w:hAnsi="Arial"/>
          <w:b w:val="false"/>
          <w:bCs w:val="false"/>
          <w:i w:val="false"/>
          <w:iCs w:val="false"/>
          <w:color w:val="FF3333"/>
          <w:sz w:val="24"/>
          <w:szCs w:val="24"/>
          <w:shd w:fill="FFFFFF" w:val="clear"/>
          <w:lang w:val="pt-BR" w:eastAsia="zh-CN" w:bidi="ar-SA"/>
        </w:rPr>
        <w:t>(inserir condições de pagamento do Órgão).</w:t>
      </w:r>
    </w:p>
    <w:p>
      <w:pPr>
        <w:pStyle w:val="Normal"/>
        <w:bidi w:val="0"/>
        <w:spacing w:lineRule="auto" w:line="240" w:before="0" w:after="0"/>
        <w:ind w:left="0" w:right="0" w:hanging="0"/>
        <w:jc w:val="both"/>
        <w:rPr>
          <w:rStyle w:val="Fontepargpadro"/>
          <w:rFonts w:ascii="Arial" w:hAnsi="Arial" w:eastAsia="Calibri" w:cs="arial"/>
          <w:b w:val="false"/>
          <w:b w:val="false"/>
          <w:bCs w:val="false"/>
          <w:i w:val="false"/>
          <w:i w:val="false"/>
          <w:iCs w:val="false"/>
          <w:color w:val="FF3333"/>
          <w:sz w:val="24"/>
          <w:szCs w:val="24"/>
          <w:highlight w:val="white"/>
          <w:lang w:val="pt-BR" w:eastAsia="zh-CN" w:bidi="ar-SA"/>
        </w:rPr>
      </w:pPr>
      <w:r>
        <w:rPr>
          <w:rFonts w:eastAsia="Calibri" w:cs="arial" w:ascii="Arial" w:hAnsi="Arial"/>
          <w:b w:val="false"/>
          <w:bCs w:val="false"/>
          <w:i w:val="false"/>
          <w:iCs w:val="false"/>
          <w:color w:val="FF3333"/>
          <w:sz w:val="24"/>
          <w:szCs w:val="24"/>
          <w:highlight w:val="white"/>
          <w:lang w:val="pt-BR" w:eastAsia="zh-CN" w:bidi="ar-SA"/>
        </w:rPr>
      </w:r>
    </w:p>
    <w:p>
      <w:pPr>
        <w:pStyle w:val="Normal"/>
        <w:bidi w:val="0"/>
        <w:spacing w:lineRule="auto" w:line="240" w:before="0" w:after="0"/>
        <w:ind w:left="0" w:right="0" w:hanging="0"/>
        <w:jc w:val="both"/>
        <w:rPr/>
      </w:pPr>
      <w:r>
        <w:rPr>
          <w:rStyle w:val="Fontepargpadro"/>
          <w:rFonts w:eastAsia="Calibri" w:cs="arial" w:ascii="Arial" w:hAnsi="Arial"/>
          <w:b w:val="false"/>
          <w:bCs w:val="false"/>
          <w:i w:val="false"/>
          <w:iCs w:val="false"/>
          <w:color w:val="000000"/>
          <w:sz w:val="24"/>
          <w:szCs w:val="24"/>
          <w:shd w:fill="FFFFFF" w:val="clear"/>
          <w:lang w:val="pt-BR" w:eastAsia="zh-CN" w:bidi="ar-SA"/>
        </w:rPr>
        <w:t>5.2. Será considerada data do pagamento o dia em que constar depósito bancário para pagamento.</w:t>
      </w:r>
    </w:p>
    <w:p>
      <w:pPr>
        <w:pStyle w:val="ListParagraph"/>
        <w:bidi w:val="0"/>
        <w:spacing w:lineRule="auto" w:line="240" w:before="0" w:after="0"/>
        <w:ind w:left="0" w:right="0" w:hanging="0"/>
        <w:jc w:val="both"/>
        <w:rPr>
          <w:rFonts w:ascii="Arial" w:hAnsi="Arial"/>
          <w:color w:val="000000"/>
          <w:sz w:val="24"/>
          <w:szCs w:val="24"/>
        </w:rPr>
      </w:pPr>
      <w:r>
        <w:rPr>
          <w:rFonts w:ascii="Arial" w:hAnsi="Arial"/>
          <w:color w:val="000000"/>
          <w:sz w:val="24"/>
          <w:szCs w:val="24"/>
        </w:rPr>
      </w:r>
    </w:p>
    <w:p>
      <w:pPr>
        <w:pStyle w:val="Normal"/>
        <w:bidi w:val="0"/>
        <w:spacing w:lineRule="auto" w:line="240" w:before="0" w:after="0"/>
        <w:ind w:left="0" w:right="0" w:hanging="0"/>
        <w:jc w:val="both"/>
        <w:rPr/>
      </w:pPr>
      <w:r>
        <w:rPr>
          <w:rStyle w:val="Fontepargpadro"/>
          <w:rFonts w:eastAsia="Calibri" w:cs="arial" w:ascii="Arial" w:hAnsi="Arial"/>
          <w:b w:val="false"/>
          <w:bCs w:val="false"/>
          <w:i w:val="false"/>
          <w:iCs w:val="false"/>
          <w:color w:val="000000"/>
          <w:sz w:val="24"/>
          <w:szCs w:val="24"/>
          <w:shd w:fill="FFFFFF" w:val="clear"/>
          <w:lang w:val="pt-BR" w:eastAsia="zh-CN" w:bidi="ar-SA"/>
        </w:rPr>
        <w:t>5.3. O pagamento será efetuado com as devidas retenções tributárias previstas em legislação vigente.</w:t>
      </w:r>
    </w:p>
    <w:p>
      <w:pPr>
        <w:pStyle w:val="Normal"/>
        <w:bidi w:val="0"/>
        <w:spacing w:lineRule="auto" w:line="240" w:before="0" w:after="0"/>
        <w:ind w:left="0" w:right="0" w:hanging="0"/>
        <w:jc w:val="both"/>
        <w:rPr>
          <w:sz w:val="24"/>
          <w:szCs w:val="24"/>
        </w:rPr>
      </w:pPr>
      <w:r>
        <w:rPr>
          <w:sz w:val="24"/>
          <w:szCs w:val="24"/>
        </w:rPr>
      </w:r>
    </w:p>
    <w:p>
      <w:pPr>
        <w:pStyle w:val="Normal"/>
        <w:bidi w:val="0"/>
        <w:spacing w:lineRule="auto" w:line="240" w:before="0" w:after="0"/>
        <w:ind w:left="0" w:right="0" w:hanging="0"/>
        <w:jc w:val="both"/>
        <w:rPr/>
      </w:pPr>
      <w:r>
        <w:rPr>
          <w:rStyle w:val="Fontepargpadro"/>
          <w:rFonts w:eastAsia="Calibri" w:cs="arial" w:ascii="Arial" w:hAnsi="Arial"/>
          <w:b/>
          <w:bCs/>
          <w:i w:val="false"/>
          <w:iCs w:val="false"/>
          <w:color w:val="000000"/>
          <w:sz w:val="24"/>
          <w:szCs w:val="24"/>
          <w:shd w:fill="FFFFFF" w:val="clear"/>
          <w:lang w:val="pt-BR" w:eastAsia="zh-CN" w:bidi="ar-SA"/>
        </w:rPr>
        <w:t>6.  DISPOSIÇÕES FINAIS</w:t>
      </w:r>
    </w:p>
    <w:p>
      <w:pPr>
        <w:pStyle w:val="Normal"/>
        <w:bidi w:val="0"/>
        <w:spacing w:lineRule="auto" w:line="240" w:before="0" w:after="0"/>
        <w:ind w:left="0" w:right="0" w:hanging="0"/>
        <w:jc w:val="both"/>
        <w:rPr>
          <w:sz w:val="24"/>
          <w:szCs w:val="24"/>
        </w:rPr>
      </w:pPr>
      <w:r>
        <w:rPr>
          <w:sz w:val="24"/>
          <w:szCs w:val="24"/>
        </w:rPr>
      </w:r>
    </w:p>
    <w:p>
      <w:pPr>
        <w:pStyle w:val="Normal"/>
        <w:bidi w:val="0"/>
        <w:spacing w:lineRule="auto" w:line="240" w:before="0" w:after="0"/>
        <w:ind w:left="0" w:right="0" w:hanging="0"/>
        <w:jc w:val="both"/>
        <w:rPr/>
      </w:pPr>
      <w:r>
        <w:rPr>
          <w:rStyle w:val="Fontepargpadro"/>
          <w:rFonts w:eastAsia="Calibri" w:cs="arial" w:ascii="Arial" w:hAnsi="Arial"/>
          <w:b w:val="false"/>
          <w:bCs w:val="false"/>
          <w:i w:val="false"/>
          <w:iCs w:val="false"/>
          <w:color w:val="000000"/>
          <w:sz w:val="24"/>
          <w:szCs w:val="24"/>
          <w:shd w:fill="FFFFFF" w:val="clear"/>
          <w:lang w:val="pt-BR" w:eastAsia="zh-CN" w:bidi="ar-SA"/>
        </w:rPr>
        <w:t>6.1. O presente Órgão declara estar ciente e de acordo com as condições estabelecidas pela Fundação Hospitalar do Município de Varginha, no que tange a escolha da solução para a presente contratação, as condições elencadas no Termo de Referência e demais documentos relacionados à presente Intenção de Registro de Preços.</w:t>
      </w:r>
    </w:p>
    <w:p>
      <w:pPr>
        <w:pStyle w:val="Normal"/>
        <w:bidi w:val="0"/>
        <w:spacing w:lineRule="auto" w:line="240" w:before="0" w:after="0"/>
        <w:ind w:left="0" w:right="0" w:hanging="0"/>
        <w:jc w:val="both"/>
        <w:rPr>
          <w:rFonts w:eastAsia="Calibri"/>
          <w:b w:val="false"/>
          <w:b w:val="false"/>
          <w:bCs w:val="false"/>
          <w:i w:val="false"/>
          <w:i w:val="false"/>
          <w:iCs w:val="false"/>
          <w:sz w:val="24"/>
          <w:szCs w:val="24"/>
          <w:lang w:val="pt-BR" w:eastAsia="zh-CN" w:bidi="ar-SA"/>
        </w:rPr>
      </w:pPr>
      <w:r>
        <w:rPr>
          <w:rFonts w:eastAsia="Calibri"/>
          <w:b w:val="false"/>
          <w:bCs w:val="false"/>
          <w:i w:val="false"/>
          <w:iCs w:val="false"/>
          <w:sz w:val="24"/>
          <w:szCs w:val="24"/>
          <w:lang w:val="pt-BR" w:eastAsia="zh-CN" w:bidi="ar-SA"/>
        </w:rPr>
      </w:r>
    </w:p>
    <w:p>
      <w:pPr>
        <w:pStyle w:val="Normal"/>
        <w:bidi w:val="0"/>
        <w:spacing w:lineRule="auto" w:line="240" w:before="0" w:after="0"/>
        <w:ind w:left="0" w:right="0" w:hanging="0"/>
        <w:jc w:val="both"/>
        <w:rPr>
          <w:rFonts w:ascii="Arial" w:hAnsi="Arial" w:cs="arial"/>
          <w:color w:val="000000"/>
          <w:sz w:val="24"/>
          <w:szCs w:val="24"/>
          <w:highlight w:val="white"/>
        </w:rPr>
      </w:pPr>
      <w:r>
        <w:rPr>
          <w:rStyle w:val="Fontepargpadro"/>
          <w:rFonts w:eastAsia="Calibri" w:cs="arial" w:ascii="Arial" w:hAnsi="Arial"/>
          <w:b w:val="false"/>
          <w:bCs w:val="false"/>
          <w:i w:val="false"/>
          <w:iCs w:val="false"/>
          <w:color w:val="000000"/>
          <w:sz w:val="24"/>
          <w:szCs w:val="24"/>
          <w:shd w:fill="FFFFFF" w:val="clear"/>
          <w:lang w:val="pt-BR" w:eastAsia="zh-CN" w:bidi="ar-SA"/>
        </w:rPr>
        <w:t>6.2. O Órgão declara estar ciente das responsabilidades do ente participante, elencadas na Lei nº 14.133/21 e Decreto nº 11.595/23.</w:t>
      </w:r>
    </w:p>
    <w:p>
      <w:pPr>
        <w:pStyle w:val="Normal"/>
        <w:bidi w:val="0"/>
        <w:spacing w:lineRule="auto" w:line="240" w:before="0" w:after="0"/>
        <w:ind w:left="0" w:right="0" w:hanging="0"/>
        <w:jc w:val="both"/>
        <w:rPr>
          <w:rFonts w:ascii="Arial" w:hAnsi="Arial" w:cs="arial"/>
          <w:color w:val="000000"/>
          <w:sz w:val="24"/>
          <w:szCs w:val="24"/>
          <w:highlight w:val="white"/>
        </w:rPr>
      </w:pPr>
      <w:r>
        <w:rPr>
          <w:rFonts w:cs="arial" w:ascii="Arial" w:hAnsi="Arial"/>
          <w:color w:val="000000"/>
          <w:sz w:val="24"/>
          <w:szCs w:val="24"/>
          <w:highlight w:val="white"/>
        </w:rPr>
      </w:r>
    </w:p>
    <w:p>
      <w:pPr>
        <w:pStyle w:val="Normal"/>
        <w:bidi w:val="0"/>
        <w:spacing w:lineRule="auto" w:line="240" w:before="0" w:after="0"/>
        <w:ind w:left="0" w:right="0" w:hanging="0"/>
        <w:jc w:val="both"/>
        <w:rPr>
          <w:rFonts w:ascii="Arial" w:hAnsi="Arial" w:cs="arial"/>
          <w:color w:val="000000"/>
          <w:sz w:val="24"/>
          <w:szCs w:val="24"/>
          <w:highlight w:val="white"/>
        </w:rPr>
      </w:pPr>
      <w:r>
        <w:rPr>
          <w:rFonts w:cs="arial" w:ascii="Arial" w:hAnsi="Arial"/>
          <w:color w:val="000000"/>
          <w:sz w:val="24"/>
          <w:szCs w:val="24"/>
          <w:highlight w:val="white"/>
        </w:rPr>
      </w:r>
    </w:p>
    <w:p>
      <w:pPr>
        <w:pStyle w:val="Normal"/>
        <w:bidi w:val="0"/>
        <w:spacing w:lineRule="auto" w:line="240" w:before="0" w:after="0"/>
        <w:ind w:left="0" w:right="0" w:hanging="0"/>
        <w:jc w:val="both"/>
        <w:rPr>
          <w:rFonts w:ascii="Arial" w:hAnsi="Arial" w:cs="arial"/>
          <w:color w:val="000000"/>
          <w:sz w:val="24"/>
          <w:szCs w:val="24"/>
          <w:highlight w:val="white"/>
        </w:rPr>
      </w:pPr>
      <w:r>
        <w:rPr>
          <w:rFonts w:cs="arial" w:ascii="Arial" w:hAnsi="Arial"/>
          <w:color w:val="000000"/>
          <w:sz w:val="24"/>
          <w:szCs w:val="24"/>
          <w:highlight w:val="white"/>
        </w:rPr>
      </w:r>
    </w:p>
    <w:p>
      <w:pPr>
        <w:pStyle w:val="Normal"/>
        <w:bidi w:val="0"/>
        <w:spacing w:lineRule="auto" w:line="240" w:before="0" w:after="0"/>
        <w:ind w:left="0" w:right="0" w:hanging="0"/>
        <w:jc w:val="both"/>
        <w:rPr>
          <w:rStyle w:val="Fontepargpadro"/>
          <w:rFonts w:eastAsia="Calibri"/>
          <w:b w:val="false"/>
          <w:b w:val="false"/>
          <w:bCs w:val="false"/>
          <w:i w:val="false"/>
          <w:i w:val="false"/>
          <w:iCs w:val="false"/>
          <w:lang w:val="pt-BR" w:eastAsia="zh-CN" w:bidi="ar-SA"/>
        </w:rPr>
      </w:pPr>
      <w:r>
        <w:rPr>
          <w:rFonts w:eastAsia="Calibri"/>
          <w:b w:val="false"/>
          <w:bCs w:val="false"/>
          <w:i w:val="false"/>
          <w:iCs w:val="false"/>
          <w:lang w:val="pt-BR" w:eastAsia="zh-CN" w:bidi="ar-SA"/>
        </w:rPr>
      </w:r>
    </w:p>
    <w:p>
      <w:pPr>
        <w:pStyle w:val="Normal"/>
        <w:bidi w:val="0"/>
        <w:spacing w:lineRule="auto" w:line="240" w:before="0" w:after="0"/>
        <w:ind w:left="0" w:right="0" w:hanging="0"/>
        <w:jc w:val="both"/>
        <w:rPr>
          <w:rStyle w:val="Fontepargpadro"/>
          <w:rFonts w:eastAsia="Calibri"/>
          <w:b w:val="false"/>
          <w:b w:val="false"/>
          <w:bCs w:val="false"/>
          <w:i w:val="false"/>
          <w:i w:val="false"/>
          <w:iCs w:val="false"/>
          <w:lang w:val="pt-BR" w:eastAsia="zh-CN" w:bidi="ar-SA"/>
        </w:rPr>
      </w:pPr>
      <w:r>
        <w:rPr>
          <w:rFonts w:eastAsia="Calibri"/>
          <w:b w:val="false"/>
          <w:bCs w:val="false"/>
          <w:i w:val="false"/>
          <w:iCs w:val="false"/>
          <w:lang w:val="pt-BR" w:eastAsia="zh-CN" w:bidi="ar-SA"/>
        </w:rPr>
      </w:r>
    </w:p>
    <w:p>
      <w:pPr>
        <w:pStyle w:val="Normal"/>
        <w:bidi w:val="0"/>
        <w:spacing w:lineRule="auto" w:line="240" w:before="0" w:after="0"/>
        <w:ind w:left="0" w:right="0" w:hanging="0"/>
        <w:jc w:val="center"/>
        <w:rPr>
          <w:rFonts w:ascii="Arial" w:hAnsi="Arial" w:cs="arial"/>
          <w:color w:val="000000"/>
          <w:sz w:val="24"/>
          <w:szCs w:val="24"/>
          <w:highlight w:val="white"/>
        </w:rPr>
      </w:pPr>
      <w:r>
        <w:rPr>
          <w:rStyle w:val="Fontepargpadro"/>
          <w:rFonts w:eastAsia="Calibri" w:cs="arial" w:ascii="Arial" w:hAnsi="Arial"/>
          <w:b w:val="false"/>
          <w:bCs w:val="false"/>
          <w:i w:val="false"/>
          <w:iCs w:val="false"/>
          <w:color w:val="000000"/>
          <w:sz w:val="24"/>
          <w:szCs w:val="24"/>
          <w:shd w:fill="FFFFFF" w:val="clear"/>
          <w:lang w:val="pt-BR" w:eastAsia="zh-CN" w:bidi="ar-SA"/>
        </w:rPr>
        <w:t xml:space="preserve">Varginha, </w:t>
      </w:r>
      <w:r>
        <w:rPr>
          <w:rStyle w:val="Fontepargpadro"/>
          <w:rFonts w:eastAsia="Calibri" w:cs="arial" w:ascii="Arial" w:hAnsi="Arial"/>
          <w:b w:val="false"/>
          <w:bCs w:val="false"/>
          <w:i w:val="false"/>
          <w:iCs w:val="false"/>
          <w:color w:val="FF3333"/>
          <w:sz w:val="24"/>
          <w:szCs w:val="24"/>
          <w:shd w:fill="FFFFFF" w:val="clear"/>
          <w:lang w:val="pt-BR" w:eastAsia="zh-CN" w:bidi="ar-SA"/>
        </w:rPr>
        <w:t>xx</w:t>
      </w:r>
      <w:r>
        <w:rPr>
          <w:rStyle w:val="Fontepargpadro"/>
          <w:rFonts w:eastAsia="Calibri" w:cs="arial" w:ascii="Arial" w:hAnsi="Arial"/>
          <w:b w:val="false"/>
          <w:bCs w:val="false"/>
          <w:i w:val="false"/>
          <w:iCs w:val="false"/>
          <w:color w:val="000000"/>
          <w:sz w:val="24"/>
          <w:szCs w:val="24"/>
          <w:shd w:fill="FFFFFF" w:val="clear"/>
          <w:lang w:val="pt-BR" w:eastAsia="zh-CN" w:bidi="ar-SA"/>
        </w:rPr>
        <w:t xml:space="preserve"> de </w:t>
      </w:r>
      <w:r>
        <w:rPr>
          <w:rStyle w:val="Fontepargpadro"/>
          <w:rFonts w:eastAsia="Calibri" w:cs="arial" w:ascii="Arial" w:hAnsi="Arial"/>
          <w:b w:val="false"/>
          <w:bCs w:val="false"/>
          <w:i w:val="false"/>
          <w:iCs w:val="false"/>
          <w:color w:val="C9211E"/>
          <w:sz w:val="24"/>
          <w:szCs w:val="24"/>
          <w:shd w:fill="FFFFFF" w:val="clear"/>
          <w:lang w:val="pt-BR" w:eastAsia="zh-CN" w:bidi="ar-SA"/>
        </w:rPr>
        <w:t>xxx</w:t>
      </w:r>
      <w:r>
        <w:rPr>
          <w:rStyle w:val="Fontepargpadro"/>
          <w:rFonts w:eastAsia="Calibri" w:cs="arial" w:ascii="Arial" w:hAnsi="Arial"/>
          <w:b w:val="false"/>
          <w:bCs w:val="false"/>
          <w:i w:val="false"/>
          <w:iCs w:val="false"/>
          <w:color w:val="000000"/>
          <w:sz w:val="24"/>
          <w:szCs w:val="24"/>
          <w:shd w:fill="FFFFFF" w:val="clear"/>
          <w:lang w:val="pt-BR" w:eastAsia="zh-CN" w:bidi="ar-SA"/>
        </w:rPr>
        <w:t xml:space="preserve"> de 2026</w:t>
      </w:r>
    </w:p>
    <w:p>
      <w:pPr>
        <w:pStyle w:val="Normal"/>
        <w:bidi w:val="0"/>
        <w:spacing w:lineRule="auto" w:line="240" w:before="0" w:after="0"/>
        <w:ind w:left="0" w:right="0" w:hanging="0"/>
        <w:jc w:val="center"/>
        <w:rPr/>
      </w:pPr>
      <w:r>
        <w:rPr>
          <w:rStyle w:val="Fontepargpadro"/>
          <w:rFonts w:eastAsia="Calibri" w:cs="arial" w:ascii="Arial" w:hAnsi="Arial"/>
          <w:b w:val="false"/>
          <w:bCs w:val="false"/>
          <w:i w:val="false"/>
          <w:iCs w:val="false"/>
          <w:color w:val="000000"/>
          <w:sz w:val="24"/>
          <w:szCs w:val="24"/>
          <w:shd w:fill="FFFFFF" w:val="clear"/>
          <w:lang w:val="pt-BR" w:eastAsia="zh-CN" w:bidi="ar-SA"/>
        </w:rPr>
        <w:t>Nome e assinatura do responsável</w:t>
      </w:r>
    </w:p>
    <w:p>
      <w:pPr>
        <w:pStyle w:val="Normal"/>
        <w:bidi w:val="0"/>
        <w:spacing w:lineRule="auto" w:line="240" w:before="0" w:after="0"/>
        <w:ind w:left="0" w:right="0" w:hanging="0"/>
        <w:jc w:val="center"/>
        <w:rPr/>
      </w:pPr>
      <w:r>
        <w:rPr>
          <w:rStyle w:val="Fontepargpadro"/>
          <w:rFonts w:eastAsia="Calibri" w:cs="arial" w:ascii="Arial" w:hAnsi="Arial"/>
          <w:b w:val="false"/>
          <w:bCs w:val="false"/>
          <w:i w:val="false"/>
          <w:iCs w:val="false"/>
          <w:color w:val="000000"/>
          <w:sz w:val="24"/>
          <w:szCs w:val="24"/>
          <w:highlight w:val="white"/>
          <w:lang w:val="pt-BR" w:eastAsia="zh-CN" w:bidi="ar-SA"/>
        </w:rPr>
        <w:t>Cargo</w:t>
      </w:r>
    </w:p>
    <w:p>
      <w:pPr>
        <w:pStyle w:val="Normal"/>
        <w:bidi w:val="0"/>
        <w:spacing w:lineRule="auto" w:line="240" w:before="0" w:after="0"/>
        <w:ind w:left="0" w:right="0" w:hanging="0"/>
        <w:jc w:val="center"/>
        <w:rPr/>
      </w:pPr>
      <w:r>
        <w:rPr>
          <w:rStyle w:val="Fontepargpadro"/>
          <w:rFonts w:eastAsia="Calibri" w:cs="arial" w:ascii="Arial" w:hAnsi="Arial"/>
          <w:b w:val="false"/>
          <w:bCs w:val="false"/>
          <w:i w:val="false"/>
          <w:iCs w:val="false"/>
          <w:color w:val="000000"/>
          <w:sz w:val="24"/>
          <w:szCs w:val="24"/>
          <w:shd w:fill="FFFFFF" w:val="clear"/>
          <w:lang w:val="pt-BR" w:eastAsia="zh-CN" w:bidi="ar-SA"/>
        </w:rPr>
        <w:t xml:space="preserve">Órgão </w:t>
      </w:r>
    </w:p>
    <w:sectPr>
      <w:headerReference w:type="default" r:id="rId2"/>
      <w:footerReference w:type="default" r:id="rId3"/>
      <w:type w:val="nextPage"/>
      <w:pgSz w:w="11906" w:h="16838"/>
      <w:pgMar w:left="1701" w:right="1134" w:gutter="0" w:header="0" w:top="2410" w:footer="283" w:bottom="1373"/>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DejaVu Sans Mono">
    <w:altName w:val="Yu Gothic"/>
    <w:charset w:val="01"/>
    <w:family w:val="roman"/>
    <w:pitch w:val="variable"/>
  </w:font>
  <w:font w:name="Arial">
    <w:charset w:val="01"/>
    <w:family w:val="roman"/>
    <w:pitch w:val="variable"/>
  </w:font>
  <w:font w:name="Liberation Sans">
    <w:altName w:val="Arial"/>
    <w:charset w:val="01"/>
    <w:family w:val="roman"/>
    <w:pitch w:val="variable"/>
  </w:font>
  <w:font w:name="aria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odap"/>
      <w:jc w:val="center"/>
      <w:rPr/>
    </w:pPr>
    <w:r>
      <w:rPr/>
      <w:t>__________________________________________________________________________________</w:t>
    </w:r>
  </w:p>
  <w:p>
    <w:pPr>
      <w:pStyle w:val="Rodap"/>
      <w:jc w:val="center"/>
      <w:rPr/>
    </w:pPr>
    <w:r>
      <w:rPr/>
      <w:t>Rua Presidente Tancredo Neves, 500 – Bom Pastor – Varginha MG – 37.014-460</w:t>
    </w:r>
  </w:p>
  <w:p>
    <w:pPr>
      <w:pStyle w:val="Rodap"/>
      <w:jc w:val="center"/>
      <w:rPr/>
    </w:pPr>
    <w:r>
      <w:rPr/>
      <w:t>CNPJ 19.110.162/0001-00 – Inscrição Estadual Isento – 35 3606.3591/3592/3593/3594</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abealho"/>
      <w:tabs>
        <w:tab w:val="left" w:pos="2031" w:leader="none"/>
        <w:tab w:val="center" w:pos="4252" w:leader="none"/>
        <w:tab w:val="right" w:pos="8504" w:leader="none"/>
      </w:tabs>
      <w:ind w:left="0" w:right="0" w:hanging="1134"/>
      <w:rPr/>
    </w:pPr>
    <w:r>
      <w:rPr/>
      <w:drawing>
        <wp:inline distT="0" distB="0" distL="0" distR="0">
          <wp:extent cx="7229475" cy="1365250"/>
          <wp:effectExtent l="0" t="0" r="0" b="0"/>
          <wp:docPr id="1" name="Figura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2" descr=""/>
                  <pic:cNvPicPr>
                    <a:picLocks noChangeAspect="1" noChangeArrowheads="1"/>
                  </pic:cNvPicPr>
                </pic:nvPicPr>
                <pic:blipFill>
                  <a:blip r:embed="rId1"/>
                  <a:srcRect l="-347" t="-1763" r="-347" b="-1763"/>
                  <a:stretch>
                    <a:fillRect/>
                  </a:stretch>
                </pic:blipFill>
                <pic:spPr bwMode="auto">
                  <a:xfrm>
                    <a:off x="0" y="0"/>
                    <a:ext cx="7229475" cy="1365250"/>
                  </a:xfrm>
                  <a:prstGeom prst="rect">
                    <a:avLst/>
                  </a:prstGeom>
                </pic:spPr>
              </pic:pic>
            </a:graphicData>
          </a:graphic>
        </wp:inline>
      </w:drawing>
      <w:drawing>
        <wp:anchor behindDoc="1" distT="0" distB="0" distL="0" distR="0" simplePos="0" locked="0" layoutInCell="0" allowOverlap="1" relativeHeight="4">
          <wp:simplePos x="0" y="0"/>
          <wp:positionH relativeFrom="column">
            <wp:align>center</wp:align>
          </wp:positionH>
          <wp:positionV relativeFrom="margin">
            <wp:align>center</wp:align>
          </wp:positionV>
          <wp:extent cx="3201670" cy="3201670"/>
          <wp:effectExtent l="0" t="0" r="0" b="0"/>
          <wp:wrapNone/>
          <wp:docPr id="2" name="Figura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descr=""/>
                  <pic:cNvPicPr>
                    <a:picLocks noChangeAspect="1" noChangeArrowheads="1"/>
                  </pic:cNvPicPr>
                </pic:nvPicPr>
                <pic:blipFill>
                  <a:blip r:embed="rId2"/>
                  <a:srcRect l="-779" t="-779" r="-779" b="-779"/>
                  <a:stretch>
                    <a:fillRect/>
                  </a:stretch>
                </pic:blipFill>
                <pic:spPr bwMode="auto">
                  <a:xfrm>
                    <a:off x="0" y="0"/>
                    <a:ext cx="3201670" cy="320167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408"/>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FreeSans"/>
        <w:sz w:val="24"/>
        <w:szCs w:val="24"/>
        <w:lang w:val="pt-BR"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jc w:val="left"/>
    </w:pPr>
    <w:rPr>
      <w:rFonts w:ascii="Calibri" w:hAnsi="Calibri" w:eastAsia="Calibri" w:cs=";Calibri"/>
      <w:color w:val="00000A"/>
      <w:kern w:val="0"/>
      <w:sz w:val="22"/>
      <w:szCs w:val="22"/>
      <w:lang w:val="pt-BR" w:eastAsia="zh-CN" w:bidi="ar-SA"/>
    </w:rPr>
  </w:style>
  <w:style w:type="paragraph" w:styleId="Ttulo6">
    <w:name w:val="Heading 6"/>
    <w:basedOn w:val="Normal"/>
    <w:next w:val="Normal"/>
    <w:qFormat/>
    <w:pPr>
      <w:keepNext w:val="true"/>
      <w:numPr>
        <w:ilvl w:val="5"/>
        <w:numId w:val="1"/>
      </w:numPr>
      <w:ind w:left="0" w:right="0" w:hanging="0"/>
      <w:jc w:val="center"/>
      <w:outlineLvl w:val="5"/>
    </w:pPr>
    <w:rPr>
      <w:b/>
      <w:sz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Fontepargpadro">
    <w:name w:val="Fonte parág. padrão"/>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CabealhoChar">
    <w:name w:val="Cabeçalho Char"/>
    <w:basedOn w:val="DefaultParagraphFont"/>
    <w:qFormat/>
    <w:rPr/>
  </w:style>
  <w:style w:type="character" w:styleId="RodapChar">
    <w:name w:val="Rodapé Char"/>
    <w:basedOn w:val="DefaultParagraphFont"/>
    <w:qFormat/>
    <w:rPr/>
  </w:style>
  <w:style w:type="character" w:styleId="TextodebaloChar">
    <w:name w:val="Texto de balão Char"/>
    <w:qFormat/>
    <w:rPr>
      <w:rFonts w:ascii="Tahoma" w:hAnsi="Tahoma" w:cs="Tahoma"/>
      <w:sz w:val="16"/>
      <w:szCs w:val="16"/>
    </w:rPr>
  </w:style>
  <w:style w:type="character" w:styleId="WWFontepargpadro1111">
    <w:name w:val="WW-Fonte parág. padrão1111"/>
    <w:qFormat/>
    <w:rPr/>
  </w:style>
  <w:style w:type="character" w:styleId="LinkdaInternet">
    <w:name w:val="Hyperlink"/>
    <w:basedOn w:val="WWFontepargpadro1111"/>
    <w:rPr>
      <w:color w:val="0000FF"/>
      <w:u w:val="single"/>
    </w:rPr>
  </w:style>
  <w:style w:type="character" w:styleId="Teletipo">
    <w:name w:val="Teletipo"/>
    <w:qFormat/>
    <w:rPr>
      <w:rFonts w:ascii="DejaVu Sans Mono;Yu Gothic" w:hAnsi="DejaVu Sans Mono;Yu Gothic" w:eastAsia="DejaVu Sans Mono;Yu Gothic" w:cs="DejaVu Sans Mono;Yu Gothic"/>
    </w:rPr>
  </w:style>
  <w:style w:type="character" w:styleId="WW8Num5z0">
    <w:name w:val="WW8Num5z0"/>
    <w:qFormat/>
    <w:rPr>
      <w:rFonts w:ascii="Arial" w:hAnsi="Arial" w:cs="Arial"/>
    </w:rPr>
  </w:style>
  <w:style w:type="character" w:styleId="WW8Num6z0">
    <w:name w:val="WW8Num6z0"/>
    <w:qFormat/>
    <w:rPr>
      <w:rFonts w:ascii="Arial" w:hAnsi="Arial" w:cs="Arial"/>
      <w:b w:val="false"/>
      <w:bCs w:val="false"/>
      <w:i w:val="false"/>
      <w:iCs w:val="false"/>
      <w:sz w:val="24"/>
      <w:szCs w:val="24"/>
    </w:rPr>
  </w:style>
  <w:style w:type="character" w:styleId="Strong">
    <w:name w:val="Strong"/>
    <w:qFormat/>
    <w:rPr>
      <w:b/>
      <w:bCs/>
    </w:rPr>
  </w:style>
  <w:style w:type="paragraph" w:styleId="Ttulo">
    <w:name w:val="Título"/>
    <w:basedOn w:val="Normal"/>
    <w:next w:val="Corpodotexto"/>
    <w:qFormat/>
    <w:pPr>
      <w:keepNext w:val="true"/>
      <w:spacing w:before="240" w:after="120"/>
    </w:pPr>
    <w:rPr>
      <w:rFonts w:ascii="Liberation Sans;Arial" w:hAnsi="Liberation Sans;Arial" w:eastAsia="DejaVu Sans" w:cs="DejaVu Sans"/>
      <w:sz w:val="28"/>
      <w:szCs w:val="28"/>
    </w:rPr>
  </w:style>
  <w:style w:type="paragraph" w:styleId="Corpodotexto">
    <w:name w:val="Body Text"/>
    <w:basedOn w:val="Normal"/>
    <w:pPr>
      <w:spacing w:lineRule="auto" w:line="276" w:before="0" w:after="140"/>
    </w:pPr>
    <w:rPr/>
  </w:style>
  <w:style w:type="paragraph" w:styleId="Lista">
    <w:name w:val="List"/>
    <w:basedOn w:val="Corpodotexto"/>
    <w:pPr/>
    <w:rPr>
      <w:rFonts w:cs="FreeSans;Calibri"/>
    </w:rPr>
  </w:style>
  <w:style w:type="paragraph" w:styleId="Legenda">
    <w:name w:val="Caption"/>
    <w:basedOn w:val="Normal"/>
    <w:qFormat/>
    <w:pPr>
      <w:suppressLineNumbers/>
      <w:spacing w:before="120" w:after="120"/>
    </w:pPr>
    <w:rPr>
      <w:rFonts w:cs="FreeSans;Calibri"/>
      <w:i/>
      <w:iCs/>
      <w:sz w:val="24"/>
      <w:szCs w:val="24"/>
    </w:rPr>
  </w:style>
  <w:style w:type="paragraph" w:styleId="Ndice">
    <w:name w:val="Índice"/>
    <w:basedOn w:val="Normal"/>
    <w:qFormat/>
    <w:pPr>
      <w:suppressLineNumbers/>
    </w:pPr>
    <w:rPr>
      <w:rFonts w:cs="FreeSans;Calibri"/>
    </w:rPr>
  </w:style>
  <w:style w:type="paragraph" w:styleId="Ttulo1">
    <w:name w:val="Título1"/>
    <w:basedOn w:val="Normal"/>
    <w:qFormat/>
    <w:pPr>
      <w:keepNext w:val="true"/>
      <w:spacing w:before="240" w:after="120"/>
    </w:pPr>
    <w:rPr>
      <w:rFonts w:ascii="Liberation Sans;Arial" w:hAnsi="Liberation Sans;Arial" w:eastAsia="DejaVu Sans" w:cs="FreeSans;Calibri"/>
      <w:sz w:val="28"/>
      <w:szCs w:val="28"/>
    </w:rPr>
  </w:style>
  <w:style w:type="paragraph" w:styleId="CabealhoeRodap">
    <w:name w:val="Cabeçalho e Rodapé"/>
    <w:basedOn w:val="Normal"/>
    <w:qFormat/>
    <w:pPr/>
    <w:rPr/>
  </w:style>
  <w:style w:type="paragraph" w:styleId="Cabealho">
    <w:name w:val="Header"/>
    <w:basedOn w:val="Normal"/>
    <w:pPr>
      <w:tabs>
        <w:tab w:val="clear" w:pos="408"/>
        <w:tab w:val="center" w:pos="4252" w:leader="none"/>
        <w:tab w:val="right" w:pos="8504" w:leader="none"/>
      </w:tabs>
      <w:spacing w:lineRule="auto" w:line="240" w:before="0" w:after="0"/>
    </w:pPr>
    <w:rPr/>
  </w:style>
  <w:style w:type="paragraph" w:styleId="Rodap">
    <w:name w:val="Footer"/>
    <w:basedOn w:val="Normal"/>
    <w:pPr>
      <w:tabs>
        <w:tab w:val="clear" w:pos="408"/>
        <w:tab w:val="center" w:pos="4252" w:leader="none"/>
        <w:tab w:val="right" w:pos="8504"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Contedodatabela">
    <w:name w:val="Conteúdo da tabela"/>
    <w:basedOn w:val="Normal"/>
    <w:qFormat/>
    <w:pPr>
      <w:suppressLineNumbers/>
    </w:pPr>
    <w:rPr/>
  </w:style>
  <w:style w:type="paragraph" w:styleId="Ttulodetabela">
    <w:name w:val="Título de tabela"/>
    <w:basedOn w:val="Contedodatabela"/>
    <w:qFormat/>
    <w:pPr>
      <w:suppressLineNumbers/>
      <w:jc w:val="center"/>
    </w:pPr>
    <w:rPr>
      <w:b/>
      <w:bCs/>
    </w:rPr>
  </w:style>
  <w:style w:type="paragraph" w:styleId="ListParagraph">
    <w:name w:val="List Paragraph"/>
    <w:basedOn w:val="Normal"/>
    <w:qFormat/>
    <w:pPr>
      <w:suppressAutoHyphens w:val="true"/>
      <w:ind w:left="720" w:right="0" w:hanging="0"/>
    </w:pPr>
    <w:rPr/>
  </w:style>
  <w:style w:type="numbering" w:styleId="WW8Num1">
    <w:name w:val="WW8Num1"/>
    <w:qFormat/>
  </w:style>
  <w:style w:type="numbering" w:styleId="WW8Num5">
    <w:name w:val="WW8Num5"/>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docProps/app.xml><?xml version="1.0" encoding="utf-8"?>
<Properties xmlns="http://schemas.openxmlformats.org/officeDocument/2006/extended-properties" xmlns:vt="http://schemas.openxmlformats.org/officeDocument/2006/docPropsVTypes">
  <Template>Normal.dotm</Template>
  <TotalTime>2432</TotalTime>
  <Application>LibreOffice/7.4.7.2$Linux_X86_64 LibreOffice_project/40$Build-2</Application>
  <AppVersion>15.0000</AppVersion>
  <Pages>3</Pages>
  <Words>716</Words>
  <Characters>4132</Characters>
  <CharactersWithSpaces>4803</CharactersWithSpaces>
  <Paragraphs>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2021-11-09T13:22:00Z</dcterms:created>
  <dc:creator>Odillon</dc:creator>
  <dc:description/>
  <dc:language>pt-BR</dc:language>
  <cp:lastModifiedBy/>
  <cp:lastPrinted>1995-11-21T17:41:00Z</cp:lastPrinted>
  <dcterms:modified xsi:type="dcterms:W3CDTF">2026-07-14T07:01:48Z</dcterms:modified>
  <cp:revision>461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