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Fonts w:ascii="arial" w:hAnsi="arial" w:eastAsia="Times New Roman" w:cs="arial"/>
          <w:b/>
          <w:b/>
          <w:bCs/>
          <w:color w:val="00000A"/>
          <w:sz w:val="24"/>
          <w:szCs w:val="24"/>
          <w:u w:val="single"/>
          <w:lang w:val="pt-BR" w:eastAsia="zxx" w:bidi="ar-SA"/>
        </w:rPr>
      </w:pPr>
      <w:r>
        <w:rPr>
          <w:rFonts w:eastAsia="Times New Roman" w:cs="arial" w:ascii="arial" w:hAnsi="arial"/>
          <w:b/>
          <w:bCs/>
          <w:color w:val="00000A"/>
          <w:sz w:val="24"/>
          <w:szCs w:val="24"/>
          <w:u w:val="single"/>
          <w:lang w:val="pt-BR" w:eastAsia="zxx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Fonts w:eastAsia="Times New Roman" w:cs="arial" w:ascii="arial" w:hAnsi="arial"/>
          <w:b/>
          <w:bCs/>
          <w:color w:val="00000A"/>
          <w:sz w:val="24"/>
          <w:szCs w:val="24"/>
          <w:u w:val="single"/>
          <w:lang w:val="pt-BR" w:eastAsia="zxx" w:bidi="ar-SA"/>
        </w:rPr>
        <w:t>INTENÇÃO DE REGISTRO DE PREÇOS Nº 01</w:t>
      </w:r>
      <w:r>
        <w:rPr>
          <w:rFonts w:eastAsia="Times New Roman" w:cs="arial" w:ascii="arial" w:hAnsi="arial"/>
          <w:b/>
          <w:bCs/>
          <w:color w:val="00000A"/>
          <w:sz w:val="24"/>
          <w:szCs w:val="24"/>
          <w:u w:val="single"/>
          <w:lang w:val="pt-BR" w:eastAsia="zxx" w:bidi="ar-SA"/>
        </w:rPr>
        <w:t>5</w:t>
      </w:r>
      <w:r>
        <w:rPr>
          <w:rFonts w:eastAsia="Times New Roman" w:cs="arial" w:ascii="arial" w:hAnsi="arial"/>
          <w:b/>
          <w:bCs/>
          <w:color w:val="00000A"/>
          <w:sz w:val="24"/>
          <w:szCs w:val="24"/>
          <w:u w:val="single"/>
          <w:lang w:val="pt-BR" w:eastAsia="zxx" w:bidi="ar-SA"/>
        </w:rPr>
        <w:t>/2026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Fonts w:eastAsia="Calibri" w:cs="Calibri"/>
          <w:color w:val="00000A"/>
          <w:sz w:val="16"/>
          <w:szCs w:val="20"/>
          <w:lang w:val="pt-BR" w:eastAsia="zxx" w:bidi="ar-SA"/>
        </w:rPr>
      </w:pPr>
      <w:r>
        <w:rPr>
          <w:rFonts w:eastAsia="Calibri" w:cs="Calibri"/>
          <w:color w:val="00000A"/>
          <w:sz w:val="16"/>
          <w:szCs w:val="20"/>
          <w:lang w:val="pt-BR" w:eastAsia="zxx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u w:val="none"/>
        </w:rPr>
      </w:pPr>
      <w:r>
        <w:rPr>
          <w:rFonts w:eastAsia="Times New Roman" w:cs="arial" w:ascii="arial" w:hAnsi="arial"/>
          <w:b/>
          <w:bCs/>
          <w:color w:val="00000A"/>
          <w:sz w:val="24"/>
          <w:szCs w:val="24"/>
          <w:u w:val="none"/>
          <w:lang w:val="pt-BR" w:eastAsia="zxx" w:bidi="ar-SA"/>
        </w:rPr>
        <w:t>SOLICITAÇÃO DE PARTICIPAÇÃO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Fonts w:ascii="arial" w:hAnsi="arial" w:eastAsia="Times New Roman" w:cs="arial"/>
          <w:color w:val="00000A"/>
          <w:sz w:val="24"/>
          <w:szCs w:val="24"/>
          <w:lang w:val="pt-BR" w:eastAsia="zxx" w:bidi="ar-SA"/>
        </w:rPr>
      </w:pPr>
      <w:r>
        <w:rPr>
          <w:rFonts w:eastAsia="Times New Roman" w:cs="arial" w:ascii="arial" w:hAnsi="arial"/>
          <w:color w:val="00000A"/>
          <w:sz w:val="24"/>
          <w:szCs w:val="24"/>
          <w:lang w:val="pt-BR" w:eastAsia="zxx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eastAsia="Times New Roman" w:cs="Arial"/>
          <w:b/>
          <w:b/>
          <w:bCs/>
          <w:color w:val="000000"/>
          <w:sz w:val="24"/>
          <w:szCs w:val="24"/>
          <w:lang w:eastAsia="ar-SA"/>
        </w:rPr>
      </w:pP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ar-SA"/>
        </w:rPr>
        <w:t>1. OBJETO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eastAsia="Times New Roman" w:cs="Arial"/>
          <w:color w:val="000000"/>
          <w:sz w:val="24"/>
          <w:szCs w:val="24"/>
          <w:lang w:eastAsia="ar-SA"/>
        </w:rPr>
      </w:pPr>
      <w:r>
        <w:rPr>
          <w:rFonts w:eastAsia="Times New Roman" w:cs="Arial"/>
          <w:color w:val="000000"/>
          <w:sz w:val="24"/>
          <w:szCs w:val="24"/>
          <w:lang w:eastAsia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Fonts w:eastAsia="Times New Roman" w:cs="Arial" w:ascii="Arial" w:hAnsi="Arial"/>
          <w:color w:val="000000"/>
          <w:sz w:val="24"/>
          <w:szCs w:val="24"/>
          <w:lang w:val="pt-BR" w:eastAsia="ar-SA" w:bidi="ar-SA"/>
        </w:rPr>
        <w:t xml:space="preserve">1.1. Constitui objeto deste instrumento a 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val="pt-BR" w:eastAsia="ar-SA" w:bidi="ar-SA"/>
        </w:rPr>
        <w:t>CONTRATAÇÃO DE EMPRESA ESPECIALIZADA EM DESINSTALAÇÃO E INSTALAÇÃO DE AR CONDICIONADO, COM FORNECIMENTO DE MATERIAIS E RECOLHIMENTO DE GÁS REFRIGERANTE</w:t>
      </w:r>
      <w:r>
        <w:rPr>
          <w:rFonts w:eastAsia="Times New Roman" w:cs="Arial" w:ascii="Arial" w:hAnsi="Arial"/>
          <w:b w:val="false"/>
          <w:bCs w:val="false"/>
          <w:color w:val="000000"/>
          <w:sz w:val="24"/>
          <w:szCs w:val="24"/>
          <w:highlight w:val="white"/>
          <w:lang w:val="pt-BR" w:eastAsia="ar-SA" w:bidi="ar-SA"/>
        </w:rPr>
        <w:t>, via Sistema de Registro de Preços,</w:t>
      </w:r>
      <w:r>
        <w:rPr>
          <w:rFonts w:eastAsia="Times New Roman" w:cs="Arial" w:ascii="Arial" w:hAnsi="Arial"/>
          <w:color w:val="000000"/>
          <w:sz w:val="24"/>
          <w:szCs w:val="24"/>
          <w:highlight w:val="white"/>
          <w:lang w:val="pt-BR" w:eastAsia="ar-SA" w:bidi="ar-SA"/>
        </w:rPr>
        <w:t xml:space="preserve"> para atendimento aos Órgãos da Administração Direta e Indireta do Município de Varginha.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highlight w:val="white"/>
        </w:rPr>
      </w:pPr>
      <w:r>
        <w:rPr>
          <w:highlight w:val="white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eastAsia="Times New Roman" w:cs="Arial"/>
          <w:color w:val="000000"/>
          <w:sz w:val="24"/>
          <w:szCs w:val="24"/>
          <w:lang w:val="pt-BR" w:eastAsia="ar-SA" w:bidi="ar-SA"/>
        </w:rPr>
      </w:pPr>
      <w:r>
        <w:rPr>
          <w:rFonts w:eastAsia="Times New Roman" w:cs="Arial" w:ascii="Arial" w:hAnsi="Arial"/>
          <w:color w:val="000000"/>
          <w:sz w:val="24"/>
          <w:szCs w:val="24"/>
          <w:highlight w:val="white"/>
          <w:lang w:val="pt-BR" w:eastAsia="ar-SA" w:bidi="ar-SA"/>
        </w:rPr>
        <w:t>1.2. Estima-se a aquisição dos seguintes itens e respectivas quantidades: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highlight w:val="white"/>
        </w:rPr>
      </w:pPr>
      <w:r>
        <w:rPr>
          <w:highlight w:val="white"/>
        </w:rPr>
      </w:r>
    </w:p>
    <w:tbl>
      <w:tblPr>
        <w:tblW w:w="9240" w:type="dxa"/>
        <w:jc w:val="left"/>
        <w:tblInd w:w="-22" w:type="dxa"/>
        <w:tblLayout w:type="fixed"/>
        <w:tblCellMar>
          <w:top w:w="0" w:type="dxa"/>
          <w:left w:w="2" w:type="dxa"/>
          <w:bottom w:w="0" w:type="dxa"/>
          <w:right w:w="57" w:type="dxa"/>
        </w:tblCellMar>
      </w:tblPr>
      <w:tblGrid>
        <w:gridCol w:w="667"/>
        <w:gridCol w:w="4010"/>
        <w:gridCol w:w="1679"/>
        <w:gridCol w:w="1459"/>
        <w:gridCol w:w="1425"/>
      </w:tblGrid>
      <w:tr>
        <w:trPr/>
        <w:tc>
          <w:tcPr>
            <w:tcW w:w="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Arial" w:ascii="Arial" w:hAnsi="Arial"/>
                <w:b/>
                <w:bCs/>
                <w:sz w:val="22"/>
                <w:szCs w:val="22"/>
              </w:rPr>
              <w:t>Item</w:t>
            </w:r>
            <w:r>
              <w:rPr>
                <w:rFonts w:eastAsia="Times New Roman" w:cs="Arial" w:ascii="Arial" w:hAnsi="Arial"/>
                <w:b/>
                <w:bCs/>
                <w:color w:val="FF3333"/>
                <w:sz w:val="22"/>
                <w:szCs w:val="22"/>
              </w:rPr>
              <w:t>*</w:t>
            </w:r>
          </w:p>
        </w:tc>
        <w:tc>
          <w:tcPr>
            <w:tcW w:w="40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Arial" w:ascii="Arial" w:hAnsi="Arial"/>
                <w:b/>
                <w:bCs/>
                <w:sz w:val="22"/>
                <w:szCs w:val="22"/>
              </w:rPr>
              <w:t>Especificação</w:t>
            </w:r>
          </w:p>
        </w:tc>
        <w:tc>
          <w:tcPr>
            <w:tcW w:w="16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Quantidade para 12 meses</w:t>
            </w:r>
          </w:p>
        </w:tc>
        <w:tc>
          <w:tcPr>
            <w:tcW w:w="14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Valor unit.</w:t>
            </w:r>
            <w:r>
              <w:rPr>
                <w:rFonts w:ascii="Arial" w:hAnsi="Arial"/>
                <w:b/>
                <w:bCs/>
                <w:color w:val="FF3333"/>
                <w:sz w:val="22"/>
                <w:szCs w:val="22"/>
              </w:rPr>
              <w:t>**</w:t>
            </w:r>
          </w:p>
        </w:tc>
        <w:tc>
          <w:tcPr>
            <w:tcW w:w="1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Valor Total</w:t>
            </w:r>
          </w:p>
        </w:tc>
      </w:tr>
      <w:tr>
        <w:trPr>
          <w:trHeight w:val="1437" w:hRule="atLeast"/>
        </w:trPr>
        <w:tc>
          <w:tcPr>
            <w:tcW w:w="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457" w:leader="none"/>
              </w:tabs>
              <w:bidi w:val="0"/>
              <w:spacing w:lineRule="auto" w:line="240" w:before="0" w:after="0"/>
              <w:ind w:left="0" w:right="0" w:hanging="0"/>
              <w:jc w:val="center"/>
              <w:rPr>
                <w:rFonts w:ascii="Arial" w:hAnsi="Arial" w:eastAsia="Times New Roman" w:cs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sz w:val="22"/>
                <w:szCs w:val="22"/>
              </w:rPr>
            </w:r>
          </w:p>
        </w:tc>
        <w:tc>
          <w:tcPr>
            <w:tcW w:w="40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457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Style w:val="Fontepargpadro"/>
                <w:rFonts w:ascii="Arial" w:hAnsi="Arial" w:eastAsia="Times New Roman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A"/>
                <w:spacing w:val="0"/>
                <w:highlight w:val="white"/>
                <w:u w:val="none"/>
                <w:lang w:val="pt-BR" w:eastAsia="zxx" w:bidi="ar-SA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A"/>
                <w:spacing w:val="0"/>
                <w:highlight w:val="white"/>
                <w:u w:val="none"/>
                <w:lang w:val="pt-BR" w:eastAsia="zxx" w:bidi="ar-SA"/>
              </w:rPr>
            </w:r>
          </w:p>
        </w:tc>
        <w:tc>
          <w:tcPr>
            <w:tcW w:w="16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457" w:leader="none"/>
              </w:tabs>
              <w:bidi w:val="0"/>
              <w:spacing w:lineRule="auto" w:line="240" w:before="0" w:after="0"/>
              <w:ind w:left="0" w:right="0" w:hanging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4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457" w:leader="none"/>
              </w:tabs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1"/>
                <w:szCs w:val="21"/>
                <w:u w:val="none"/>
                <w:em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1"/>
                <w:szCs w:val="21"/>
                <w:u w:val="none"/>
                <w:em w:val="none"/>
              </w:rPr>
            </w:r>
          </w:p>
        </w:tc>
        <w:tc>
          <w:tcPr>
            <w:tcW w:w="1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457" w:leader="none"/>
              </w:tabs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tabs>
          <w:tab w:val="clear" w:pos="408"/>
          <w:tab w:val="left" w:pos="0" w:leader="none"/>
        </w:tabs>
        <w:bidi w:val="0"/>
        <w:spacing w:lineRule="auto" w:line="240" w:before="0" w:after="0"/>
        <w:ind w:left="0" w:right="0" w:hanging="0"/>
        <w:jc w:val="left"/>
        <w:rPr>
          <w:rStyle w:val="LinkdaInternet"/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Fonts w:cs="arial" w:ascii="arial" w:hAnsi="arial"/>
          <w:color w:val="FF3333"/>
          <w:sz w:val="24"/>
          <w:szCs w:val="24"/>
        </w:rPr>
        <w:t>* Preencher o número do item conforme sequencial do Termo de Referência.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Fonts w:cs="arial" w:ascii="arial" w:hAnsi="arial"/>
          <w:color w:val="FF3333"/>
          <w:sz w:val="24"/>
          <w:szCs w:val="24"/>
        </w:rPr>
        <w:t>** Os valores unitários deverão ser preenchidos de acordo com os valores informados no Termo de Referência.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color w:val="FF3333"/>
          <w:sz w:val="24"/>
          <w:szCs w:val="24"/>
        </w:rPr>
      </w:pPr>
      <w:r>
        <w:rPr>
          <w:rFonts w:cs="arial" w:ascii="arial" w:hAnsi="arial"/>
          <w:color w:val="FF3333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Obs¹.: </w:t>
      </w:r>
      <w:r>
        <w:rPr>
          <w:rFonts w:cs="arial" w:ascii="arial" w:hAnsi="arial"/>
          <w:color w:val="000000"/>
          <w:sz w:val="24"/>
          <w:szCs w:val="24"/>
        </w:rPr>
        <w:t>A solicitação deverá ser cadastrada no sistema Betha, com os códigos constantes no(s) item(ns) do Termo de Referência.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b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Obs².: </w:t>
      </w:r>
      <w:r>
        <w:rPr>
          <w:rFonts w:cs="arial" w:ascii="arial" w:hAnsi="arial"/>
          <w:b w:val="false"/>
          <w:bCs w:val="false"/>
          <w:color w:val="000000"/>
          <w:sz w:val="24"/>
          <w:szCs w:val="24"/>
          <w:u w:val="single"/>
        </w:rPr>
        <w:t xml:space="preserve">No momento do preenchimento da solicitação no sistema, deverá ser escolhida como </w:t>
      </w:r>
      <w:r>
        <w:rPr>
          <w:rFonts w:cs="arial" w:ascii="arial" w:hAnsi="arial"/>
          <w:b/>
          <w:bCs/>
          <w:color w:val="000000"/>
          <w:sz w:val="24"/>
          <w:szCs w:val="24"/>
          <w:u w:val="single"/>
        </w:rPr>
        <w:t>entidade gestora*</w:t>
      </w:r>
      <w:r>
        <w:rPr>
          <w:rFonts w:cs="arial" w:ascii="arial" w:hAnsi="arial"/>
          <w:b w:val="false"/>
          <w:bCs w:val="false"/>
          <w:color w:val="000000"/>
          <w:sz w:val="24"/>
          <w:szCs w:val="24"/>
          <w:u w:val="single"/>
        </w:rPr>
        <w:t xml:space="preserve"> a Fundação Hospitalar do Município de Varginha.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color w:val="FF3333"/>
          <w:sz w:val="26"/>
          <w:szCs w:val="26"/>
        </w:rPr>
      </w:pPr>
      <w:r>
        <w:rPr>
          <w:rFonts w:cs="arial" w:ascii="arial" w:hAnsi="arial"/>
          <w:color w:val="FF3333"/>
          <w:sz w:val="26"/>
          <w:szCs w:val="26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b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  <w:t>2. CONDIÇÕES GERAIS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color w:val="FF3333"/>
          <w:sz w:val="21"/>
          <w:szCs w:val="21"/>
        </w:rPr>
      </w:pPr>
      <w:r>
        <w:rPr>
          <w:rFonts w:cs="arial" w:ascii="arial" w:hAnsi="arial"/>
          <w:color w:val="FF3333"/>
          <w:sz w:val="21"/>
          <w:szCs w:val="21"/>
        </w:rPr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/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2.1.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 xml:space="preserve">O fornecimento dos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>serviços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 xml:space="preserve"> processar-se-á de forma parcelada, mediante solicitação.</w:t>
      </w:r>
    </w:p>
    <w:p>
      <w:pPr>
        <w:pStyle w:val="Normal"/>
        <w:bidi w:val="0"/>
        <w:spacing w:lineRule="auto" w:line="252" w:before="0" w:after="0"/>
        <w:jc w:val="both"/>
        <w:rPr>
          <w:rStyle w:val="Fontepargpadro"/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/>
      </w:pPr>
      <w:r>
        <w:rPr>
          <w:rFonts w:eastAsia="Calibri" w:cs="arial" w:ascii="Arial" w:hAnsi="Arial"/>
          <w:color w:val="000000"/>
          <w:sz w:val="24"/>
          <w:szCs w:val="24"/>
          <w:shd w:fill="FFFFFF" w:val="clear"/>
          <w:lang w:val="pt-BR" w:eastAsia="zh-CN" w:bidi="ar-SA"/>
        </w:rPr>
        <w:t xml:space="preserve">2.2.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lang w:val="pt-BR" w:eastAsia="zxx" w:bidi="ar-SA"/>
        </w:rPr>
        <w:t>O prazo de início da contratação dar-se-á a partir da assinatura de Ata de Registro de Preços.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Times New Roman" w:cs="Arial"/>
          <w:b w:val="false"/>
          <w:b w:val="false"/>
          <w:bCs w:val="false"/>
          <w:i w:val="false"/>
          <w:i w:val="false"/>
          <w:iCs w:val="false"/>
          <w:color w:val="000000"/>
          <w:sz w:val="24"/>
          <w:szCs w:val="24"/>
          <w:highlight w:val="white"/>
          <w:lang w:val="pt-BR" w:eastAsia="zxx" w:bidi="ar-SA"/>
        </w:rPr>
      </w:pPr>
      <w:r>
        <w:rPr/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lang w:val="pt-BR" w:eastAsia="zxx" w:bidi="ar-SA"/>
        </w:rPr>
        <w:t xml:space="preserve">2.3.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highlight w:val="white"/>
          <w:u w:val="none"/>
          <w:shd w:fill="FFFFFF" w:val="clear"/>
          <w:lang w:val="pt-BR" w:eastAsia="zxx" w:bidi="ar-SA"/>
        </w:rPr>
        <w:t>Os serviços deverão ser executados em estrita observância às especificações contidas no Termo de Referência, leis e normas v</w:t>
      </w:r>
      <w:r>
        <w:rPr>
          <w:rStyle w:val="Fontepargpadro"/>
          <w:rFonts w:eastAsia="Times New Roman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highlight w:val="white"/>
          <w:u w:val="none"/>
          <w:shd w:fill="FFFFFF" w:val="clear"/>
          <w:lang w:val="pt-BR" w:eastAsia="zxx" w:bidi="ar-SA"/>
        </w:rPr>
        <w:t xml:space="preserve">igentes. 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Style w:val="Fontepargpadro"/>
          <w:rFonts w:eastAsia="Calibri"/>
          <w:i w:val="false"/>
          <w:i w:val="false"/>
          <w:iCs w:val="false"/>
          <w:lang w:val="pt-BR" w:eastAsia="zh-CN" w:bidi="ar-SA"/>
        </w:rPr>
      </w:pPr>
      <w:r>
        <w:rPr>
          <w:rFonts w:eastAsia="Calibri"/>
          <w:i w:val="false"/>
          <w:iCs w:val="false"/>
          <w:lang w:val="pt-BR" w:eastAsia="zh-CN" w:bidi="ar-SA"/>
        </w:rPr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Times New Roman" w:cs="Arial"/>
          <w:b w:val="false"/>
          <w:b w:val="false"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  <w:lang w:val="zxx" w:eastAsia="zxx" w:bidi="ar-SA"/>
        </w:rPr>
      </w:pPr>
      <w:r>
        <w:rPr>
          <w:rStyle w:val="Fontepargpadr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zxx" w:bidi="zxx"/>
        </w:rPr>
        <w:t xml:space="preserve">2.4.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pt-BR" w:bidi="zxx"/>
        </w:rPr>
        <w:t xml:space="preserve">Os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pt-BR" w:bidi="zxx"/>
        </w:rPr>
        <w:t xml:space="preserve">serviços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pt-BR" w:bidi="zxx"/>
        </w:rPr>
        <w:t xml:space="preserve">deverão ser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pt-BR" w:bidi="zxx"/>
        </w:rPr>
        <w:t>realizados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pt-BR" w:bidi="zxx"/>
        </w:rPr>
        <w:t>…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FF3333"/>
          <w:kern w:val="2"/>
          <w:sz w:val="24"/>
          <w:szCs w:val="24"/>
          <w:u w:val="none"/>
          <w:shd w:fill="FFFFFF" w:val="clear"/>
          <w:lang w:val="pt-BR" w:eastAsia="pt-BR" w:bidi="ar-SA"/>
        </w:rPr>
        <w:t xml:space="preserve">(informar local com endereço, dias e horário para a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FF3333"/>
          <w:kern w:val="2"/>
          <w:sz w:val="24"/>
          <w:szCs w:val="24"/>
          <w:u w:val="none"/>
          <w:shd w:fill="FFFFFF" w:val="clear"/>
          <w:lang w:val="pt-BR" w:eastAsia="pt-BR" w:bidi="ar-SA"/>
        </w:rPr>
        <w:t>execução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FF3333"/>
          <w:kern w:val="2"/>
          <w:sz w:val="24"/>
          <w:szCs w:val="24"/>
          <w:u w:val="none"/>
          <w:shd w:fill="FFFFFF" w:val="clear"/>
          <w:lang w:val="pt-BR" w:eastAsia="pt-BR" w:bidi="ar-SA"/>
        </w:rPr>
        <w:t>)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  <w:lang w:val="pt-BR" w:eastAsia="zxx" w:bidi="ar-SA"/>
        </w:rPr>
        <w:t>.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Times New Roman" w:cs="Arial"/>
          <w:b w:val="false"/>
          <w:b w:val="false"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  <w:lang w:val="zxx" w:eastAsia="zxx" w:bidi="ar-SA"/>
        </w:rPr>
      </w:pPr>
      <w:r>
        <w:rPr/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  <w:lang w:val="zxx" w:eastAsia="zxx" w:bidi="ar-SA"/>
        </w:rPr>
        <w:t xml:space="preserve">2.5.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>O prazo para início da execução dos serviços será de até 05 (cinco) dias corridos após a solicitação formal do setor requisitante.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Times New Roman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auto"/>
          <w:kern w:val="2"/>
          <w:sz w:val="24"/>
          <w:szCs w:val="24"/>
          <w:u w:val="none"/>
          <w:shd w:fill="FFFFFF" w:val="clear"/>
          <w:lang w:val="pt-BR" w:eastAsia="zxx" w:bidi="ar-SA"/>
        </w:rPr>
      </w:pPr>
      <w:r>
        <w:rPr/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 xml:space="preserve">2.6.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auto" w:val="clear"/>
          <w:lang w:val="pt-BR" w:eastAsia="zxx" w:bidi="ar-SA"/>
        </w:rPr>
        <w:t xml:space="preserve">É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 xml:space="preserve">de responsabilidade da Contratada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>o conhecimento do local a ser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>em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 xml:space="preserve"> desinstalado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>s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>/instalado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>s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 xml:space="preserve"> os equipamentos.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Times New Roman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auto"/>
          <w:kern w:val="2"/>
          <w:sz w:val="24"/>
          <w:szCs w:val="24"/>
          <w:u w:val="none"/>
          <w:shd w:fill="FFFFFF" w:val="clear"/>
          <w:lang w:val="pt-BR" w:eastAsia="zxx" w:bidi="ar-SA"/>
        </w:rPr>
      </w:pPr>
      <w:r>
        <w:rPr/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 xml:space="preserve">2.7.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>Nos serviços de instalação deverão estar inclusos todos os materiais necessários ao funcionamento adequado dos equipamentos, como:</w:t>
      </w:r>
    </w:p>
    <w:p>
      <w:pPr>
        <w:pStyle w:val="Normal"/>
        <w:numPr>
          <w:ilvl w:val="0"/>
          <w:numId w:val="1"/>
        </w:numPr>
        <w:bidi w:val="0"/>
        <w:spacing w:lineRule="auto" w:line="252" w:before="0" w:after="0"/>
        <w:jc w:val="both"/>
        <w:rPr>
          <w:sz w:val="24"/>
          <w:szCs w:val="24"/>
        </w:rPr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>tubulação de cobre</w:t>
      </w:r>
    </w:p>
    <w:p>
      <w:pPr>
        <w:pStyle w:val="Normal"/>
        <w:numPr>
          <w:ilvl w:val="0"/>
          <w:numId w:val="1"/>
        </w:numPr>
        <w:bidi w:val="0"/>
        <w:spacing w:lineRule="auto" w:line="252" w:before="0" w:after="0"/>
        <w:jc w:val="both"/>
        <w:rPr>
          <w:sz w:val="24"/>
          <w:szCs w:val="24"/>
        </w:rPr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>isolamento térmico</w:t>
      </w:r>
    </w:p>
    <w:p>
      <w:pPr>
        <w:pStyle w:val="Normal"/>
        <w:numPr>
          <w:ilvl w:val="0"/>
          <w:numId w:val="1"/>
        </w:numPr>
        <w:bidi w:val="0"/>
        <w:spacing w:lineRule="auto" w:line="252" w:before="0" w:after="0"/>
        <w:jc w:val="both"/>
        <w:rPr>
          <w:sz w:val="24"/>
          <w:szCs w:val="24"/>
        </w:rPr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>tubo esponjoso</w:t>
      </w:r>
    </w:p>
    <w:p>
      <w:pPr>
        <w:pStyle w:val="Normal"/>
        <w:numPr>
          <w:ilvl w:val="0"/>
          <w:numId w:val="1"/>
        </w:numPr>
        <w:bidi w:val="0"/>
        <w:spacing w:lineRule="auto" w:line="252" w:before="0" w:after="0"/>
        <w:jc w:val="both"/>
        <w:rPr>
          <w:sz w:val="24"/>
          <w:szCs w:val="24"/>
        </w:rPr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>fita de vedação</w:t>
      </w:r>
    </w:p>
    <w:p>
      <w:pPr>
        <w:pStyle w:val="Normal"/>
        <w:numPr>
          <w:ilvl w:val="0"/>
          <w:numId w:val="1"/>
        </w:numPr>
        <w:bidi w:val="0"/>
        <w:spacing w:lineRule="auto" w:line="252" w:before="0" w:after="0"/>
        <w:jc w:val="both"/>
        <w:rPr>
          <w:sz w:val="24"/>
          <w:szCs w:val="24"/>
        </w:rPr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>suportes</w:t>
      </w:r>
    </w:p>
    <w:p>
      <w:pPr>
        <w:pStyle w:val="Normal"/>
        <w:numPr>
          <w:ilvl w:val="0"/>
          <w:numId w:val="1"/>
        </w:numPr>
        <w:bidi w:val="0"/>
        <w:spacing w:lineRule="auto" w:line="252" w:before="0" w:after="0"/>
        <w:jc w:val="both"/>
        <w:rPr>
          <w:sz w:val="24"/>
          <w:szCs w:val="24"/>
        </w:rPr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>braçadeiras</w:t>
      </w:r>
    </w:p>
    <w:p>
      <w:pPr>
        <w:pStyle w:val="Normal"/>
        <w:numPr>
          <w:ilvl w:val="0"/>
          <w:numId w:val="1"/>
        </w:numPr>
        <w:bidi w:val="0"/>
        <w:spacing w:lineRule="auto" w:line="252" w:before="0" w:after="0"/>
        <w:jc w:val="both"/>
        <w:rPr>
          <w:sz w:val="24"/>
          <w:szCs w:val="24"/>
        </w:rPr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>drenos</w:t>
      </w:r>
    </w:p>
    <w:p>
      <w:pPr>
        <w:pStyle w:val="Normal"/>
        <w:numPr>
          <w:ilvl w:val="0"/>
          <w:numId w:val="1"/>
        </w:numPr>
        <w:bidi w:val="0"/>
        <w:spacing w:lineRule="auto" w:line="252" w:before="0" w:after="0"/>
        <w:jc w:val="both"/>
        <w:rPr>
          <w:sz w:val="24"/>
          <w:szCs w:val="24"/>
        </w:rPr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>recarga de gás, quando necessários</w:t>
      </w:r>
    </w:p>
    <w:p>
      <w:pPr>
        <w:pStyle w:val="Normal"/>
        <w:numPr>
          <w:ilvl w:val="0"/>
          <w:numId w:val="1"/>
        </w:numPr>
        <w:bidi w:val="0"/>
        <w:spacing w:lineRule="auto" w:line="252" w:before="0" w:after="0"/>
        <w:jc w:val="both"/>
        <w:rPr>
          <w:sz w:val="24"/>
          <w:szCs w:val="24"/>
        </w:rPr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>fixação de evaporadoras e condensadoras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>teste de funcionamento e estanqueidade.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Times New Roman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auto"/>
          <w:kern w:val="2"/>
          <w:sz w:val="24"/>
          <w:szCs w:val="24"/>
          <w:u w:val="none"/>
          <w:shd w:fill="FFFFFF" w:val="clear"/>
          <w:lang w:val="pt-BR" w:eastAsia="zxx" w:bidi="ar-SA"/>
        </w:rPr>
      </w:pPr>
      <w:r>
        <w:rPr/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 xml:space="preserve">2.8.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>Nos serviços de desinstalação deverá estar incluso:</w:t>
      </w:r>
    </w:p>
    <w:p>
      <w:pPr>
        <w:pStyle w:val="Normal"/>
        <w:numPr>
          <w:ilvl w:val="0"/>
          <w:numId w:val="2"/>
        </w:numPr>
        <w:bidi w:val="0"/>
        <w:spacing w:lineRule="auto" w:line="252" w:before="0" w:after="0"/>
        <w:jc w:val="both"/>
        <w:rPr>
          <w:sz w:val="24"/>
          <w:szCs w:val="24"/>
        </w:rPr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>recolhimento correto do gás refrigerante</w:t>
      </w:r>
    </w:p>
    <w:p>
      <w:pPr>
        <w:pStyle w:val="Normal"/>
        <w:numPr>
          <w:ilvl w:val="0"/>
          <w:numId w:val="2"/>
        </w:numPr>
        <w:bidi w:val="0"/>
        <w:spacing w:lineRule="auto" w:line="252" w:before="0" w:after="0"/>
        <w:jc w:val="both"/>
        <w:rPr>
          <w:sz w:val="24"/>
          <w:szCs w:val="24"/>
        </w:rPr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>retirada técnica dos equipamentos</w:t>
      </w:r>
    </w:p>
    <w:p>
      <w:pPr>
        <w:pStyle w:val="Normal"/>
        <w:numPr>
          <w:ilvl w:val="0"/>
          <w:numId w:val="2"/>
        </w:numPr>
        <w:bidi w:val="0"/>
        <w:spacing w:lineRule="auto" w:line="252" w:before="0" w:after="0"/>
        <w:jc w:val="both"/>
        <w:rPr>
          <w:sz w:val="24"/>
          <w:szCs w:val="24"/>
        </w:rPr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>preservação das condições de reutilização dos aparelhos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 xml:space="preserve">fechamento das tubulações para evitar contaminação. 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Times New Roman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auto"/>
          <w:kern w:val="2"/>
          <w:sz w:val="24"/>
          <w:szCs w:val="24"/>
          <w:u w:val="none"/>
          <w:shd w:fill="FFFFFF" w:val="clear"/>
          <w:lang w:val="pt-BR" w:eastAsia="zxx" w:bidi="ar-SA"/>
        </w:rPr>
      </w:pPr>
      <w:r>
        <w:rPr/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 xml:space="preserve">2.9. </w:t>
      </w:r>
      <w:r>
        <w:rPr>
          <w:rStyle w:val="Fontepargpadro"/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auto" w:val="clear"/>
          <w:lang w:val="pt-BR" w:eastAsia="zxx" w:bidi="ar-SA"/>
        </w:rPr>
        <w:t>A Contratada deverá possuir todos os equipamentos necessários para a execução dos serviços, incluindo escadas, andaimes, balancins, ferramentas específicas e equipamentos de proteção individual.</w:t>
      </w:r>
    </w:p>
    <w:p>
      <w:pPr>
        <w:pStyle w:val="Normal"/>
        <w:spacing w:lineRule="auto" w:line="242" w:before="0" w:after="0"/>
        <w:jc w:val="both"/>
        <w:rPr>
          <w:rStyle w:val="Fontepargpadro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52" w:before="0" w:after="0"/>
        <w:jc w:val="both"/>
        <w:rPr>
          <w:sz w:val="24"/>
          <w:szCs w:val="24"/>
        </w:rPr>
      </w:pPr>
      <w:r>
        <w:rPr>
          <w:rStyle w:val="Fontepargpadro"/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auto" w:val="clear"/>
          <w:lang w:val="pt-BR" w:eastAsia="zxx" w:bidi="ar-SA"/>
        </w:rPr>
        <w:t>2.10.</w:t>
      </w:r>
      <w:r>
        <w:rPr>
          <w:rStyle w:val="Fontepargpadro"/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auto" w:val="clear"/>
          <w:lang w:val="pt-BR" w:eastAsia="zxx" w:bidi="ar-SA"/>
        </w:rPr>
        <w:t xml:space="preserve"> Os profissionais que realizarem serviços em altura deverão possuir treinamento NR-35 vigente, podendo a documentação ser solicitada pela fiscalização contratual a qualquer momento.</w:t>
      </w:r>
    </w:p>
    <w:p>
      <w:pPr>
        <w:pStyle w:val="Normal"/>
        <w:bidi w:val="0"/>
        <w:spacing w:lineRule="auto" w:line="252" w:before="0" w:after="0"/>
        <w:jc w:val="both"/>
        <w:rPr>
          <w:rStyle w:val="Fontepargpadro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52" w:before="0" w:after="0"/>
        <w:jc w:val="both"/>
        <w:rPr>
          <w:sz w:val="24"/>
          <w:szCs w:val="24"/>
        </w:rPr>
      </w:pPr>
      <w:r>
        <w:rPr>
          <w:rStyle w:val="Fontepargpadro"/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auto" w:val="clear"/>
          <w:lang w:val="pt-BR" w:eastAsia="zxx" w:bidi="ar-SA"/>
        </w:rPr>
        <w:t>2.11</w:t>
      </w:r>
      <w:r>
        <w:rPr>
          <w:rStyle w:val="Fontepargpadro"/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auto" w:val="clear"/>
          <w:lang w:val="pt-BR" w:eastAsia="zxx" w:bidi="ar-SA"/>
        </w:rPr>
        <w:t>. Em caso de necessidade de utilização de munck, plataforma elevatória ou outros equipamentos especiais, os custos serão integralmente de responsabilidade da contratada.</w:t>
      </w:r>
    </w:p>
    <w:p>
      <w:pPr>
        <w:pStyle w:val="Normal"/>
        <w:bidi w:val="0"/>
        <w:spacing w:lineRule="auto" w:line="252" w:before="0" w:after="0"/>
        <w:jc w:val="both"/>
        <w:rPr>
          <w:rStyle w:val="Fontepargpadro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52" w:before="0" w:after="0"/>
        <w:jc w:val="both"/>
        <w:rPr>
          <w:sz w:val="24"/>
          <w:szCs w:val="24"/>
        </w:rPr>
      </w:pPr>
      <w:r>
        <w:rPr>
          <w:rStyle w:val="Fontepargpadro"/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auto" w:val="clear"/>
          <w:lang w:val="pt-BR" w:eastAsia="zxx" w:bidi="ar-SA"/>
        </w:rPr>
        <w:t>2.12</w:t>
      </w:r>
      <w:r>
        <w:rPr>
          <w:rStyle w:val="Fontepargpadro"/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auto" w:val="clear"/>
          <w:lang w:val="pt-BR" w:eastAsia="zxx" w:bidi="ar-SA"/>
        </w:rPr>
        <w:t>. No caso de instalação, a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auto" w:val="clear"/>
          <w:lang w:val="pt-BR" w:eastAsia="pt-BR" w:bidi="ar-SA"/>
        </w:rPr>
        <w:t xml:space="preserve"> Contratada deverá fazer todos os testes para a verificação da funcionalidade/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auto" w:val="clear"/>
          <w:lang w:val="pt-BR" w:eastAsia="pt-BR" w:bidi="ar-SA"/>
        </w:rPr>
        <w:t xml:space="preserve">desempenho do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auto" w:val="clear"/>
          <w:lang w:val="pt-BR" w:eastAsia="pt-BR" w:bidi="ar-SA"/>
        </w:rPr>
        <w:t>equipamento instalado.</w:t>
      </w:r>
    </w:p>
    <w:p>
      <w:pPr>
        <w:pStyle w:val="Normal"/>
        <w:bidi w:val="0"/>
        <w:spacing w:lineRule="auto" w:line="252" w:before="0" w:after="0"/>
        <w:jc w:val="both"/>
        <w:rPr>
          <w:rStyle w:val="Fontepargpadro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52" w:before="0" w:after="0"/>
        <w:jc w:val="both"/>
        <w:rPr>
          <w:sz w:val="24"/>
          <w:szCs w:val="24"/>
        </w:rPr>
      </w:pPr>
      <w:r>
        <w:rPr>
          <w:rStyle w:val="Fontepargpadro"/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auto" w:val="clear"/>
          <w:lang w:val="pt-BR" w:eastAsia="zxx" w:bidi="ar-SA"/>
        </w:rPr>
        <w:t>2.13</w:t>
      </w:r>
      <w:r>
        <w:rPr>
          <w:rStyle w:val="Fontepargpadro"/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auto" w:val="clear"/>
          <w:lang w:val="pt-BR" w:eastAsia="zxx" w:bidi="ar-SA"/>
        </w:rPr>
        <w:t xml:space="preserve">. Os serviços deverão ser executados sem causar danos à estrutura da </w:t>
      </w:r>
      <w:r>
        <w:rPr>
          <w:rStyle w:val="Fontepargpadro"/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auto" w:val="clear"/>
          <w:lang w:val="pt-BR" w:eastAsia="zxx" w:bidi="ar-SA"/>
        </w:rPr>
        <w:t>Contratante</w:t>
      </w:r>
      <w:r>
        <w:rPr>
          <w:rStyle w:val="Fontepargpadro"/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auto" w:val="clear"/>
          <w:lang w:val="pt-BR" w:eastAsia="zxx" w:bidi="ar-SA"/>
        </w:rPr>
        <w:t>, devendo a contratada responsabilizar-se por quaisquer avarias decorrentes da execução inadequada dos serviços.</w:t>
      </w:r>
    </w:p>
    <w:p>
      <w:pPr>
        <w:pStyle w:val="Normal"/>
        <w:bidi w:val="0"/>
        <w:spacing w:lineRule="auto" w:line="252" w:before="0" w:after="0"/>
        <w:jc w:val="both"/>
        <w:rPr>
          <w:sz w:val="24"/>
          <w:szCs w:val="24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bidi w:val="0"/>
        <w:spacing w:lineRule="auto" w:line="252" w:before="0" w:after="0"/>
        <w:jc w:val="both"/>
        <w:rPr>
          <w:sz w:val="24"/>
          <w:szCs w:val="24"/>
        </w:rPr>
      </w:pPr>
      <w:r>
        <w:rPr>
          <w:rStyle w:val="Fontepargpadro"/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auto" w:val="clear"/>
          <w:lang w:val="pt-BR" w:eastAsia="zxx" w:bidi="ar-SA"/>
        </w:rPr>
        <w:t>2.14</w:t>
      </w:r>
      <w:r>
        <w:rPr>
          <w:rStyle w:val="Fontepargpadro"/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auto" w:val="clear"/>
          <w:lang w:val="pt-BR" w:eastAsia="zxx" w:bidi="ar-SA"/>
        </w:rPr>
        <w:t>. A guarda dos equipamentos, ferramentas e materiais utilizados na execução será de responsabilidade exclusiva da contratada.</w:t>
      </w:r>
    </w:p>
    <w:p>
      <w:pPr>
        <w:pStyle w:val="Normal"/>
        <w:bidi w:val="0"/>
        <w:spacing w:lineRule="auto" w:line="252" w:before="0" w:after="0"/>
        <w:jc w:val="both"/>
        <w:rPr>
          <w:rStyle w:val="Fontepargpadro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2" w:before="0" w:after="0"/>
        <w:jc w:val="both"/>
        <w:rPr/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pt-BR" w:bidi="ar-SA"/>
        </w:rPr>
        <w:t>2.15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pt-BR" w:bidi="ar-SA"/>
        </w:rPr>
        <w:t xml:space="preserve">.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pt-BR" w:bidi="ar-SA"/>
        </w:rPr>
        <w:t xml:space="preserve">Será de responsabilidade da Contratada o fornecimento de EPIs (Equipamento de Proteção Individual) aos profissionais que efetuarão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pt-BR" w:bidi="ar-SA"/>
        </w:rPr>
        <w:t>os serviços especializados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pt-BR" w:bidi="ar-SA"/>
        </w:rPr>
        <w:t xml:space="preserve">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pt-BR" w:bidi="ar-SA"/>
        </w:rPr>
        <w:t>na Fundação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pt-BR" w:bidi="ar-SA"/>
        </w:rPr>
        <w:t>.</w:t>
      </w:r>
    </w:p>
    <w:p>
      <w:pPr>
        <w:pStyle w:val="Normal"/>
        <w:spacing w:lineRule="auto" w:line="242" w:before="0" w:after="0"/>
        <w:jc w:val="both"/>
        <w:rPr>
          <w:rStyle w:val="Fontepargpadro"/>
        </w:rPr>
      </w:pPr>
      <w:r>
        <w:rPr/>
      </w:r>
    </w:p>
    <w:p>
      <w:pPr>
        <w:pStyle w:val="Normal"/>
        <w:spacing w:lineRule="auto" w:line="242" w:before="0" w:after="0"/>
        <w:jc w:val="both"/>
        <w:rPr/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pt-BR" w:bidi="ar-SA"/>
        </w:rPr>
        <w:tab/>
      </w:r>
      <w:r>
        <w:rPr>
          <w:rStyle w:val="Fontepargpadro"/>
          <w:rFonts w:eastAsia="Times New Roman" w:cs="Arial" w:ascii="Arial" w:hAnsi="Arial"/>
          <w:b/>
          <w:bCs/>
          <w:i w:val="false"/>
          <w:iCs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pt-BR" w:bidi="ar-SA"/>
        </w:rPr>
        <w:t>Obs¹:</w:t>
      </w:r>
      <w:r>
        <w:rPr>
          <w:rStyle w:val="Fontepargpadro"/>
          <w:rFonts w:eastAsia="Times New Roman" w:cs="Arial" w:ascii="Arial" w:hAnsi="Arial"/>
          <w:b/>
          <w:bCs/>
          <w:i w:val="false"/>
          <w:iCs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pt-BR" w:bidi="ar-SA"/>
        </w:rPr>
        <w:t xml:space="preserve">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pt-BR" w:bidi="ar-SA"/>
        </w:rPr>
        <w:t>Ocorrendo acidente de trabalho com os servidores terceirizados ou detectado o descumprimento de uso, a Seção de Segurança do Trabalho entrará em contato com a empresa e esta será notificada para que sejam adotadas as medidas cabíveis quanto ao treinamento e fornecimento de EPIs aos colaboradores.</w:t>
      </w:r>
    </w:p>
    <w:p>
      <w:pPr>
        <w:pStyle w:val="Normal"/>
        <w:spacing w:lineRule="auto" w:line="242" w:before="0" w:after="0"/>
        <w:jc w:val="both"/>
        <w:rPr/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pt-BR" w:bidi="ar-SA"/>
        </w:rPr>
        <w:tab/>
      </w:r>
      <w:r>
        <w:rPr>
          <w:rStyle w:val="Fontepargpadro"/>
          <w:rFonts w:eastAsia="Times New Roman" w:cs="Arial" w:ascii="Arial" w:hAnsi="Arial"/>
          <w:b/>
          <w:bCs/>
          <w:i w:val="false"/>
          <w:iCs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pt-BR" w:bidi="ar-SA"/>
        </w:rPr>
        <w:t>Obs².: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pt-BR" w:bidi="ar-SA"/>
        </w:rPr>
        <w:t xml:space="preserve"> Em caso de não conformidade, a prestação do serviço estará sujeita a interdição ou paralisação até que sejam sanados os problemas para adequação da prestação dos serviços terceirizados.</w:t>
      </w:r>
    </w:p>
    <w:p>
      <w:pPr>
        <w:pStyle w:val="Normal"/>
        <w:bidi w:val="0"/>
        <w:spacing w:lineRule="auto" w:line="242" w:before="0" w:after="0"/>
        <w:jc w:val="both"/>
        <w:rPr>
          <w:rFonts w:ascii="arial" w:hAnsi="arial" w:eastAsia="Times New Roman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auto"/>
          <w:kern w:val="2"/>
          <w:sz w:val="24"/>
          <w:szCs w:val="24"/>
          <w:u w:val="none"/>
          <w:shd w:fill="FFFFFF" w:val="clear"/>
          <w:lang w:val="pt-BR" w:eastAsia="zxx" w:bidi="ar-SA"/>
        </w:rPr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pt-BR" w:bidi="ar-SA"/>
        </w:rPr>
        <w:tab/>
      </w:r>
      <w:r>
        <w:rPr>
          <w:rStyle w:val="Fontepargpadro"/>
          <w:rFonts w:eastAsia="Times New Roman" w:cs="Arial" w:ascii="Arial" w:hAnsi="Arial"/>
          <w:b/>
          <w:bCs/>
          <w:i w:val="false"/>
          <w:iCs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pt-BR" w:bidi="ar-SA"/>
        </w:rPr>
        <w:t>Obs³.: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pt-BR" w:bidi="ar-SA"/>
        </w:rPr>
        <w:t xml:space="preserve"> A contratante poderá paralisar a prestação dos serviços, caso não haja cumprimento de uso dos EPIs, ou quaisquer das legislações vigentes.</w:t>
      </w:r>
    </w:p>
    <w:p>
      <w:pPr>
        <w:pStyle w:val="Normal"/>
        <w:bidi w:val="0"/>
        <w:spacing w:lineRule="auto" w:line="242" w:before="0" w:after="0"/>
        <w:jc w:val="both"/>
        <w:rPr>
          <w:rStyle w:val="Fontepargpadro"/>
          <w:rFonts w:ascii="arial" w:hAnsi="arial" w:eastAsia="Times New Roman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auto"/>
          <w:kern w:val="2"/>
          <w:sz w:val="24"/>
          <w:szCs w:val="24"/>
          <w:u w:val="none"/>
          <w:shd w:fill="FFFFFF" w:val="clear"/>
          <w:lang w:val="pt-BR" w:eastAsia="zxx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</w:r>
    </w:p>
    <w:p>
      <w:pPr>
        <w:pStyle w:val="Normal"/>
        <w:bidi w:val="0"/>
        <w:spacing w:lineRule="auto" w:line="252" w:before="0" w:after="0"/>
        <w:jc w:val="both"/>
        <w:rPr>
          <w:rFonts w:ascii="arial" w:hAnsi="arial" w:eastAsia="Arial Unicode MS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2"/>
          <w:szCs w:val="22"/>
          <w:u w:val="none"/>
          <w:shd w:fill="FFFFFF" w:val="clear"/>
          <w:lang w:val="zxx" w:eastAsia="zxx" w:bidi="zxx"/>
        </w:rPr>
      </w:pPr>
      <w:r>
        <w:rPr>
          <w:rStyle w:val="Fontepargpadr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zxx" w:eastAsia="zxx" w:bidi="zxx"/>
        </w:rPr>
        <w:t>2.16</w:t>
      </w:r>
      <w:r>
        <w:rPr>
          <w:rStyle w:val="Fontepargpadr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zxx" w:eastAsia="zxx" w:bidi="zxx"/>
        </w:rPr>
        <w:t xml:space="preserve">. </w:t>
      </w:r>
      <w:r>
        <w:rPr>
          <w:rStyle w:val="Fontepargpadr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zxx" w:eastAsia="pt-BR" w:bidi="zxx"/>
        </w:rPr>
        <w:t xml:space="preserve">A empresa contratada deverá arcar com todas as despesas necessárias ao fornecimento, inclusive transportes, carga e descarga, </w:t>
      </w:r>
      <w:r>
        <w:rPr>
          <w:rStyle w:val="Fontepargpadr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zxx" w:eastAsia="pt-BR" w:bidi="zxx"/>
        </w:rPr>
        <w:t xml:space="preserve">encargos sociais, trabalhistas e fiscais para a </w:t>
      </w:r>
      <w:r>
        <w:rPr>
          <w:rStyle w:val="Fontepargpadr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zxx" w:eastAsia="pt-BR" w:bidi="zxx"/>
        </w:rPr>
        <w:t>prestação dos serviços</w:t>
      </w:r>
      <w:r>
        <w:rPr>
          <w:rStyle w:val="Fontepargpadr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zxx" w:eastAsia="pt-BR" w:bidi="zxx"/>
        </w:rPr>
        <w:t>, além de impostos inerentes à comercialização.</w:t>
      </w:r>
    </w:p>
    <w:p>
      <w:pPr>
        <w:pStyle w:val="Normal"/>
        <w:bidi w:val="0"/>
        <w:spacing w:lineRule="auto" w:line="252" w:before="0" w:after="0"/>
        <w:jc w:val="both"/>
        <w:rPr>
          <w:rStyle w:val="Fontepargpadro"/>
          <w:rFonts w:ascii="arial" w:hAnsi="arial" w:eastAsia="Arial Unicode MS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2"/>
          <w:szCs w:val="22"/>
          <w:u w:val="none"/>
          <w:shd w:fill="FFFFFF" w:val="clear"/>
          <w:lang w:val="zxx" w:eastAsia="zxx" w:bidi="zxx"/>
        </w:rPr>
      </w:pPr>
      <w:r>
        <w:rPr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2"/>
          <w:szCs w:val="22"/>
          <w:u w:val="none"/>
          <w:shd w:fill="FFFFFF" w:val="clear"/>
          <w:lang w:val="zxx" w:eastAsia="zxx" w:bidi="zxx"/>
        </w:rPr>
      </w:r>
    </w:p>
    <w:p>
      <w:pPr>
        <w:pStyle w:val="Normal"/>
        <w:bidi w:val="0"/>
        <w:spacing w:lineRule="auto" w:line="252" w:before="0" w:after="0"/>
        <w:jc w:val="both"/>
        <w:rPr>
          <w:rFonts w:ascii="arial" w:hAnsi="arial" w:eastAsia="Arial Unicode MS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2"/>
          <w:szCs w:val="22"/>
          <w:u w:val="none"/>
          <w:shd w:fill="FFFFFF" w:val="clear"/>
          <w:lang w:val="zxx" w:eastAsia="zxx" w:bidi="zxx"/>
        </w:rPr>
      </w:pPr>
      <w:r>
        <w:rPr>
          <w:rStyle w:val="Fontepargpadr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auto" w:val="clear"/>
          <w:lang w:val="zxx" w:eastAsia="zxx" w:bidi="zxx"/>
        </w:rPr>
        <w:t>2.17</w:t>
      </w:r>
      <w:r>
        <w:rPr>
          <w:rStyle w:val="Fontepargpadr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auto" w:val="clear"/>
          <w:lang w:val="zxx" w:eastAsia="zxx" w:bidi="zxx"/>
        </w:rPr>
        <w:t>.</w:t>
      </w:r>
      <w:r>
        <w:rPr>
          <w:rStyle w:val="Fontepargpadr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auto" w:val="clear"/>
          <w:lang w:val="zxx" w:eastAsia="zxx" w:bidi="zxx"/>
        </w:rPr>
        <w:t xml:space="preserve"> </w:t>
      </w:r>
      <w:r>
        <w:rPr>
          <w:rStyle w:val="LinkdaInternet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pt-BR" w:bidi="ar-SA"/>
        </w:rPr>
        <w:t>A contratada assumirá toda responsabilidade por quaisquer danos ou prejuízos causados à administração, em decorrência de problemas no fornecimento</w:t>
      </w:r>
      <w:r>
        <w:rPr>
          <w:rStyle w:val="LinkdaInternet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pt-BR" w:bidi="ar-SA"/>
        </w:rPr>
        <w:t xml:space="preserve"> </w:t>
      </w:r>
      <w:r>
        <w:rPr>
          <w:rStyle w:val="LinkdaInternet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pt-BR" w:bidi="ar-SA"/>
        </w:rPr>
        <w:t>e instalação dos</w:t>
      </w:r>
      <w:r>
        <w:rPr>
          <w:rStyle w:val="LinkdaInternet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pt-BR" w:bidi="ar-SA"/>
        </w:rPr>
        <w:t xml:space="preserve"> </w:t>
      </w:r>
      <w:r>
        <w:rPr>
          <w:rStyle w:val="LinkdaInternet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pt-BR" w:bidi="ar-SA"/>
        </w:rPr>
        <w:t>equipamentos</w:t>
      </w:r>
      <w:r>
        <w:rPr>
          <w:rStyle w:val="LinkdaInternet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pt-BR" w:bidi="ar-SA"/>
        </w:rPr>
        <w:t>.</w:t>
      </w:r>
    </w:p>
    <w:p>
      <w:pPr>
        <w:pStyle w:val="Normal"/>
        <w:bidi w:val="0"/>
        <w:spacing w:lineRule="auto" w:line="252"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widowControl w:val="false"/>
        <w:tabs>
          <w:tab w:val="clear" w:pos="408"/>
          <w:tab w:val="left" w:pos="709" w:leader="none"/>
          <w:tab w:val="left" w:pos="1270" w:leader="none"/>
        </w:tabs>
        <w:bidi w:val="0"/>
        <w:spacing w:lineRule="auto" w:line="240" w:before="0" w:after="0"/>
        <w:ind w:left="0" w:right="210" w:hanging="0"/>
        <w:jc w:val="both"/>
        <w:rPr>
          <w:rFonts w:ascii="arial" w:hAnsi="arial" w:eastAsia="Arial Unicode MS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auto"/>
          <w:sz w:val="22"/>
          <w:szCs w:val="22"/>
          <w:u w:val="none"/>
          <w:shd w:fill="FFFFFF" w:val="clear"/>
          <w:lang w:val="zxx" w:eastAsia="zxx" w:bidi="zxx"/>
        </w:rPr>
      </w:pPr>
      <w:r>
        <w:rPr>
          <w:rStyle w:val="Fontepargpadr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zxx" w:eastAsia="zxx" w:bidi="zxx"/>
        </w:rPr>
        <w:t>2.18</w:t>
      </w:r>
      <w:r>
        <w:rPr>
          <w:rStyle w:val="Fontepargpadr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zxx" w:eastAsia="zxx" w:bidi="zxx"/>
        </w:rPr>
        <w:t>.</w:t>
      </w:r>
      <w:r>
        <w:rPr>
          <w:rStyle w:val="Fontepargpadr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zxx" w:eastAsia="zxx" w:bidi="zxx"/>
        </w:rPr>
        <w:t xml:space="preserve"> A </w:t>
      </w:r>
      <w:r>
        <w:rPr>
          <w:rStyle w:val="Fontepargpadr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zxx" w:eastAsia="zxx" w:bidi="zxx"/>
        </w:rPr>
        <w:t>C</w:t>
      </w:r>
      <w:r>
        <w:rPr>
          <w:rStyle w:val="Fontepargpadr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zxx" w:eastAsia="zxx" w:bidi="zxx"/>
        </w:rPr>
        <w:t xml:space="preserve">ontratada deve informar imediatamente por escrito se houver algum </w:t>
      </w:r>
      <w:r>
        <w:rPr>
          <w:rStyle w:val="Fontepargpadr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zxx" w:eastAsia="zxx" w:bidi="zxx"/>
        </w:rPr>
        <w:t xml:space="preserve"> </w:t>
      </w:r>
      <w:r>
        <w:rPr>
          <w:rStyle w:val="Fontepargpadr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zxx" w:eastAsia="zxx" w:bidi="zxx"/>
        </w:rPr>
        <w:t xml:space="preserve">problema que possa comprometer </w:t>
      </w:r>
      <w:r>
        <w:rPr>
          <w:rStyle w:val="Fontepargpadr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zxx" w:eastAsia="zxx" w:bidi="zxx"/>
        </w:rPr>
        <w:t>a realização dos serviços contratados.</w:t>
      </w:r>
    </w:p>
    <w:p>
      <w:pPr>
        <w:pStyle w:val="ListParagraph"/>
        <w:widowControl w:val="false"/>
        <w:tabs>
          <w:tab w:val="clear" w:pos="408"/>
          <w:tab w:val="left" w:pos="709" w:leader="none"/>
          <w:tab w:val="left" w:pos="1270" w:leader="none"/>
        </w:tabs>
        <w:bidi w:val="0"/>
        <w:spacing w:lineRule="auto" w:line="240" w:before="0" w:after="0"/>
        <w:ind w:left="0" w:right="210" w:hanging="0"/>
        <w:jc w:val="both"/>
        <w:rPr>
          <w:rStyle w:val="Fontepargpadro"/>
          <w:rFonts w:ascii="arial" w:hAnsi="arial" w:eastAsia="Arial Unicode MS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auto"/>
          <w:sz w:val="22"/>
          <w:szCs w:val="22"/>
          <w:u w:val="none"/>
          <w:shd w:fill="FFFFFF" w:val="clear"/>
          <w:lang w:val="zxx" w:eastAsia="zxx" w:bidi="zxx"/>
        </w:rPr>
      </w:pPr>
      <w:r>
        <w:rPr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shd w:fill="FFFFFF" w:val="clear"/>
          <w:lang w:val="zxx" w:eastAsia="zxx" w:bidi="zxx"/>
        </w:rPr>
      </w:r>
    </w:p>
    <w:p>
      <w:pPr>
        <w:pStyle w:val="ListParagraph"/>
        <w:widowControl w:val="false"/>
        <w:tabs>
          <w:tab w:val="clear" w:pos="408"/>
          <w:tab w:val="left" w:pos="709" w:leader="none"/>
          <w:tab w:val="left" w:pos="1270" w:leader="none"/>
        </w:tabs>
        <w:bidi w:val="0"/>
        <w:spacing w:lineRule="auto" w:line="240" w:before="0" w:after="0"/>
        <w:ind w:left="0" w:right="210" w:hanging="0"/>
        <w:jc w:val="both"/>
        <w:rPr>
          <w:rFonts w:ascii="arial" w:hAnsi="arial" w:eastAsia="Arial Unicode MS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auto"/>
          <w:sz w:val="22"/>
          <w:szCs w:val="22"/>
          <w:u w:val="none"/>
          <w:shd w:fill="FFFFFF" w:val="clear"/>
          <w:lang w:val="zxx" w:eastAsia="zxx" w:bidi="zxx"/>
        </w:rPr>
      </w:pPr>
      <w:r>
        <w:rPr>
          <w:rStyle w:val="Fontepargpadr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auto" w:val="clear"/>
          <w:lang w:val="zxx" w:eastAsia="zxx" w:bidi="zxx"/>
        </w:rPr>
        <w:t>2.19</w:t>
      </w:r>
      <w:r>
        <w:rPr>
          <w:rStyle w:val="Fontepargpadr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auto" w:val="clear"/>
          <w:lang w:val="zxx" w:eastAsia="zxx" w:bidi="zxx"/>
        </w:rPr>
        <w:t xml:space="preserve">.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pt-BR" w:bidi="ar-SA"/>
        </w:rPr>
        <w:t xml:space="preserve">Os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pt-BR" w:bidi="ar-SA"/>
        </w:rPr>
        <w:t>m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pt-BR" w:bidi="ar-SA"/>
        </w:rPr>
        <w:t>ateriais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pt-BR" w:bidi="ar-SA"/>
        </w:rPr>
        <w:t xml:space="preserve">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pt-BR" w:bidi="ar-SA"/>
        </w:rPr>
        <w:t xml:space="preserve">utilizados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pt-BR" w:bidi="ar-SA"/>
        </w:rPr>
        <w:t>deverão ser novos, de qualidade adequada e deverão estar de acordo com as últimas revisões dos padrões da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pt-BR" w:bidi="ar-SA"/>
        </w:rPr>
        <w:t>s normas vigentes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pt-BR" w:bidi="ar-SA"/>
        </w:rPr>
        <w:t xml:space="preserve"> e não poderão ser provenientes de reforma, reaproveitamento e/ou recondicionamento.</w:t>
      </w:r>
    </w:p>
    <w:p>
      <w:pPr>
        <w:pStyle w:val="Normal"/>
        <w:bidi w:val="0"/>
        <w:spacing w:lineRule="auto" w:line="252" w:before="0" w:after="0"/>
        <w:jc w:val="both"/>
        <w:rPr>
          <w:rStyle w:val="Fontepargpadro"/>
          <w:rFonts w:ascii="arial" w:hAnsi="arial" w:eastAsia="Times New Roman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auto"/>
          <w:kern w:val="2"/>
          <w:sz w:val="24"/>
          <w:szCs w:val="24"/>
          <w:u w:val="none"/>
          <w:shd w:fill="FFFFFF" w:val="clear"/>
          <w:lang w:val="pt-BR" w:eastAsia="zxx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</w:r>
    </w:p>
    <w:p>
      <w:pPr>
        <w:pStyle w:val="Normal"/>
        <w:bidi w:val="0"/>
        <w:spacing w:lineRule="auto" w:line="252" w:before="0" w:after="0"/>
        <w:jc w:val="both"/>
        <w:rPr>
          <w:rFonts w:ascii="arial" w:hAnsi="arial" w:eastAsia="Times New Roman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auto"/>
          <w:kern w:val="2"/>
          <w:sz w:val="22"/>
          <w:szCs w:val="22"/>
          <w:u w:val="none"/>
          <w:shd w:fill="FFFFFF" w:val="clear"/>
          <w:lang w:val="pt-BR" w:eastAsia="zxx" w:bidi="ar-SA"/>
        </w:rPr>
      </w:pPr>
      <w:r>
        <w:rPr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auto" w:val="clear"/>
          <w:lang w:val="zxx" w:eastAsia="zxx" w:bidi="zxx"/>
        </w:rPr>
        <w:t>2.20</w:t>
      </w:r>
      <w:r>
        <w:rPr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auto" w:val="clear"/>
          <w:lang w:val="zxx" w:eastAsia="zxx" w:bidi="zxx"/>
        </w:rPr>
        <w:t xml:space="preserve">. </w:t>
      </w:r>
      <w:r>
        <w:rPr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auto" w:val="clear"/>
          <w:lang w:val="zxx" w:eastAsia="zxx" w:bidi="zxx"/>
        </w:rPr>
        <w:t>O</w:t>
      </w:r>
      <w:r>
        <w:rPr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zxx" w:eastAsia="zxx" w:bidi="zxx"/>
        </w:rPr>
        <w:t>s serviços</w:t>
      </w:r>
      <w:r>
        <w:rPr>
          <w:rStyle w:val="Fontepargpadr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zxx" w:eastAsia="pt-BR" w:bidi="zxx"/>
        </w:rPr>
        <w:t>, objeto desta contratação, em hipótese alguma configurarã</w:t>
      </w:r>
      <w:r>
        <w:rPr>
          <w:rStyle w:val="Fontepargpadr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zxx" w:eastAsia="pt-BR" w:bidi="zxx"/>
        </w:rPr>
        <w:t>o</w:t>
      </w:r>
      <w:r>
        <w:rPr>
          <w:rStyle w:val="Fontepargpadr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zxx" w:eastAsia="pt-BR" w:bidi="zxx"/>
        </w:rPr>
        <w:t xml:space="preserve"> vínculo empregatício entre as partes.</w:t>
      </w:r>
    </w:p>
    <w:p>
      <w:pPr>
        <w:pStyle w:val="Normal"/>
        <w:bidi w:val="0"/>
        <w:spacing w:lineRule="auto" w:line="252" w:before="0" w:after="0"/>
        <w:jc w:val="both"/>
        <w:rPr>
          <w:rStyle w:val="Fontepargpadro"/>
          <w:rFonts w:ascii="arial" w:hAnsi="arial" w:eastAsia="Times New Roman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auto"/>
          <w:kern w:val="2"/>
          <w:sz w:val="22"/>
          <w:szCs w:val="22"/>
          <w:u w:val="none"/>
          <w:shd w:fill="FFFFFF" w:val="clear"/>
          <w:lang w:val="pt-BR" w:eastAsia="zxx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2"/>
          <w:szCs w:val="22"/>
          <w:u w:val="none"/>
          <w:shd w:fill="FFFFFF" w:val="clear"/>
          <w:lang w:val="pt-BR" w:eastAsia="zxx" w:bidi="ar-SA"/>
        </w:rPr>
      </w:r>
    </w:p>
    <w:p>
      <w:pPr>
        <w:pStyle w:val="Normal"/>
        <w:bidi w:val="0"/>
        <w:spacing w:lineRule="auto" w:line="252" w:before="0" w:after="0"/>
        <w:jc w:val="both"/>
        <w:rPr>
          <w:rFonts w:ascii="arial" w:hAnsi="arial" w:eastAsia="Times New Roman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auto"/>
          <w:kern w:val="2"/>
          <w:sz w:val="22"/>
          <w:szCs w:val="22"/>
          <w:u w:val="none"/>
          <w:shd w:fill="FFFFFF" w:val="clear"/>
          <w:lang w:val="pt-BR" w:eastAsia="zxx" w:bidi="ar-SA"/>
        </w:rPr>
      </w:pPr>
      <w:r>
        <w:rPr>
          <w:rStyle w:val="Fontepargpadr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auto" w:val="clear"/>
          <w:lang w:val="zxx" w:eastAsia="pt-BR" w:bidi="zxx"/>
        </w:rPr>
        <w:t>2.21</w:t>
      </w:r>
      <w:r>
        <w:rPr>
          <w:rStyle w:val="Fontepargpadr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auto" w:val="clear"/>
          <w:lang w:val="zxx" w:eastAsia="pt-BR" w:bidi="zxx"/>
        </w:rPr>
        <w:t>. Todos e quaisquer avisos e comunicados deverão ser realizados por escrito e formalizados.</w:t>
      </w:r>
    </w:p>
    <w:p>
      <w:pPr>
        <w:pStyle w:val="Normal"/>
        <w:bidi w:val="0"/>
        <w:spacing w:lineRule="auto" w:line="252" w:before="0" w:after="0"/>
        <w:jc w:val="both"/>
        <w:rPr>
          <w:rStyle w:val="Fontepargpadro"/>
          <w:rFonts w:ascii="arial" w:hAnsi="arial" w:eastAsia="Arial Unicode MS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2"/>
          <w:szCs w:val="22"/>
          <w:u w:val="none"/>
          <w:shd w:fill="FFFFFF" w:val="clear"/>
          <w:lang w:val="zxx" w:eastAsia="zxx" w:bidi="zxx"/>
        </w:rPr>
      </w:pPr>
      <w:r>
        <w:rPr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2"/>
          <w:szCs w:val="22"/>
          <w:u w:val="none"/>
          <w:shd w:fill="FFFFFF" w:val="clear"/>
          <w:lang w:val="zxx" w:eastAsia="zxx" w:bidi="zxx"/>
        </w:rPr>
      </w:r>
    </w:p>
    <w:p>
      <w:pPr>
        <w:pStyle w:val="PargrafodaLista"/>
        <w:tabs>
          <w:tab w:val="clear" w:pos="408"/>
          <w:tab w:val="left" w:pos="-11" w:leader="none"/>
          <w:tab w:val="left" w:pos="550" w:leader="none"/>
        </w:tabs>
        <w:suppressAutoHyphens w:val="false"/>
        <w:bidi w:val="0"/>
        <w:spacing w:lineRule="auto" w:line="240" w:before="0" w:after="0"/>
        <w:ind w:left="0" w:right="0" w:hanging="0"/>
        <w:jc w:val="both"/>
        <w:textAlignment w:val="auto"/>
        <w:rPr>
          <w:rFonts w:ascii="ARIAL" w:hAnsi="ARIAL"/>
          <w:sz w:val="24"/>
          <w:szCs w:val="24"/>
          <w:shd w:fill="FFFFFF" w:val="clear"/>
        </w:rPr>
      </w:pPr>
      <w:r>
        <w:rPr>
          <w:rStyle w:val="Fontepargpadro"/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3. ADEQUAÇÃO ORÇAMENTÁRIA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eastAsia="Calibri"/>
          <w:i w:val="false"/>
          <w:i w:val="false"/>
          <w:iCs w:val="false"/>
          <w:lang w:val="pt-BR" w:eastAsia="zh-CN" w:bidi="ar-SA"/>
        </w:rPr>
      </w:pPr>
      <w:r>
        <w:rPr>
          <w:rFonts w:eastAsia="Calibri"/>
          <w:i w:val="false"/>
          <w:iCs w:val="fals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3.1. As despesas decorrentes da presente contratação correrão à conta de recursos específicos consignados na Lei Orçamentária Anual.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i w:val="false"/>
          <w:i w:val="false"/>
          <w:iCs w:val="false"/>
          <w:color w:val="000000"/>
          <w:sz w:val="24"/>
          <w:szCs w:val="24"/>
          <w:lang w:val="pt-BR" w:eastAsia="zh-CN" w:bidi="ar-SA"/>
        </w:rPr>
      </w:pPr>
      <w:r>
        <w:rPr>
          <w:rFonts w:eastAsia="Calibri" w:cs="arial" w:ascii="Arial" w:hAnsi="Arial"/>
          <w:i w:val="false"/>
          <w:iCs w:val="false"/>
          <w:color w:val="000000"/>
          <w:sz w:val="24"/>
          <w:szCs w:val="24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left"/>
        <w:rPr/>
      </w:pPr>
      <w:r>
        <w:rPr>
          <w:rStyle w:val="Fontepargpadro"/>
          <w:rFonts w:eastAsia="Calibri" w:cs="arial" w:ascii="Arial" w:hAnsi="Arial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3.2. A contratação será atendida pela seguinte dotação: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Style w:val="Fontepargpadro"/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Style w:val="Fontepargpadro"/>
          <w:rFonts w:eastAsia="Calibri" w:cs="arial" w:ascii="Arial" w:hAnsi="Arial"/>
          <w:b/>
          <w:i w:val="false"/>
          <w:iCs w:val="false"/>
          <w:color w:val="FF3333"/>
          <w:sz w:val="24"/>
          <w:szCs w:val="24"/>
          <w:shd w:fill="FFFFFF" w:val="clear"/>
          <w:lang w:val="pt-BR" w:eastAsia="zh-CN" w:bidi="ar-SA"/>
        </w:rPr>
        <w:t>Informar a dotação orçamentária disponível para a aquisição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Style w:val="Fontepargpadro"/>
          <w:rFonts w:ascii="Arial" w:hAnsi="Arial" w:eastAsia="Calibri" w:cs="arial"/>
          <w:b/>
          <w:b/>
          <w:i w:val="false"/>
          <w:i w:val="false"/>
          <w:iCs w:val="false"/>
          <w:color w:val="000000"/>
          <w:sz w:val="12"/>
          <w:szCs w:val="12"/>
          <w:highlight w:val="white"/>
          <w:lang w:val="pt-BR" w:eastAsia="zh-CN" w:bidi="ar-SA"/>
        </w:rPr>
      </w:pPr>
      <w:r>
        <w:rPr>
          <w:rFonts w:eastAsia="Calibri" w:cs="arial" w:ascii="Arial" w:hAnsi="Arial"/>
          <w:b/>
          <w:i w:val="false"/>
          <w:iCs w:val="false"/>
          <w:color w:val="000000"/>
          <w:sz w:val="12"/>
          <w:szCs w:val="12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3.3. Eventual dotação relativa aos exercícios financeiros subsequentes será indicada após aprovação da Lei Orçamentária respectiva e liberação dos créditos correspondentes.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ab/>
      </w:r>
      <w:r>
        <w:rPr>
          <w:rStyle w:val="Fontepargpadro"/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Obs.:</w:t>
      </w:r>
      <w:r>
        <w:rPr>
          <w:rStyle w:val="Fontepargpadro"/>
          <w:rFonts w:eastAsia="Calibri" w:cs="arial" w:ascii="Arial" w:hAnsi="Arial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 Deverá ser encaminhado o Documento de Disponibilidade Orçamentária devidamente assinado.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4. GESTÃO E FISCALIZAÇÃO CONTRATUAL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b/>
          <w:b/>
          <w:bCs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4.1. A gestão da contratação será efetuada pelo(a) Sr(a) …. , bem como a fiscalização técnica será realizada pelo(a) Sr(a). …., nomeados pela Portaria nº …/202 .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FF0000"/>
          <w:sz w:val="24"/>
          <w:szCs w:val="24"/>
          <w:shd w:fill="FFFFFF" w:val="clear"/>
          <w:lang w:val="pt-BR" w:eastAsia="zh-CN" w:bidi="ar-SA"/>
        </w:rPr>
        <w:t xml:space="preserve"> (informar os nomes e portaria de nomeação).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5. CONDIÇÕES DE PAGAMENTO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b/>
          <w:b/>
          <w:bCs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5.1. Os pagamentos serão efetuados conforme … 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FF3333"/>
          <w:sz w:val="24"/>
          <w:szCs w:val="24"/>
          <w:shd w:fill="FFFFFF" w:val="clear"/>
          <w:lang w:val="pt-BR" w:eastAsia="zh-CN" w:bidi="ar-SA"/>
        </w:rPr>
        <w:t>(inserir condições de pagamento do Órgão).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color w:val="FF3333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olor w:val="FF3333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5.2. Será considerada data do pagamento o dia em que constar depósito bancário para pagamento.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5.3. O pagamento será efetuad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o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 com as devidas retenções tributárias previstas em legislação vigente.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6.  DISPOSIÇÕES FINAIS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6.1. O presente Órgão declara estar ciente e de acordo com as condições estabelecidas pela Fundação Hospitalar do Município de Varginha, no que tange a escolha da solução para a presente contratação, as condições elencadas no Termo de Referência e demais documentos relacionados à presente Intenção de Registro de Preços.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eastAsia="Calibri"/>
          <w:b w:val="false"/>
          <w:b w:val="false"/>
          <w:bCs w:val="false"/>
          <w:i w:val="false"/>
          <w:i w:val="false"/>
          <w:iCs w:val="false"/>
          <w:lang w:val="pt-BR" w:eastAsia="zh-CN" w:bidi="ar-SA"/>
        </w:rPr>
      </w:pPr>
      <w:r>
        <w:rPr>
          <w:rFonts w:eastAsia="Calibri"/>
          <w:b w:val="false"/>
          <w:bCs w:val="false"/>
          <w:i w:val="false"/>
          <w:iCs w:val="fals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6.2. O Órgão declara estar ciente das responsabilidades do ente participante, elencadas na Lei nº 14.133/21, </w:t>
      </w:r>
      <w:bookmarkStart w:id="0" w:name="__DdeLink__49230_2999242570"/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Decreto Municipal nº 11.595/23</w:t>
      </w:r>
      <w:bookmarkEnd w:id="0"/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 e Decreto Municipal nº 11.598/23.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Style w:val="Fontepargpadro"/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Style w:val="Fontepargpadro"/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Style w:val="Fontepargpadro"/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Varginha, 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FF3333"/>
          <w:sz w:val="24"/>
          <w:szCs w:val="24"/>
          <w:shd w:fill="FFFFFF" w:val="clear"/>
          <w:lang w:val="pt-BR" w:eastAsia="zh-CN" w:bidi="ar-SA"/>
        </w:rPr>
        <w:t>xx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 de 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FF3333"/>
          <w:kern w:val="0"/>
          <w:sz w:val="24"/>
          <w:szCs w:val="24"/>
          <w:shd w:fill="FFFFFF" w:val="clear"/>
          <w:lang w:val="pt-BR" w:eastAsia="zh-CN" w:bidi="ar-SA"/>
        </w:rPr>
        <w:t>xxxxx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 de 2026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Nome e assinatura do responsável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  <w:t>Cargo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Órgão </w:t>
      </w:r>
    </w:p>
    <w:sectPr>
      <w:headerReference w:type="default" r:id="rId2"/>
      <w:footerReference w:type="default" r:id="rId3"/>
      <w:type w:val="nextPage"/>
      <w:pgSz w:w="11906" w:h="16838"/>
      <w:pgMar w:left="1701" w:right="1134" w:gutter="0" w:header="0" w:top="1531" w:footer="283" w:bottom="137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DejaVu Sans Mono">
    <w:altName w:val="Yu Gothic"/>
    <w:charset w:val="01"/>
    <w:family w:val="roman"/>
    <w:pitch w:val="variable"/>
  </w:font>
  <w:font w:name="Aria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ARIAL">
    <w:charset w:val="01"/>
    <w:family w:val="swiss"/>
    <w:pitch w:val="default"/>
  </w:font>
  <w:font w:name="ARIAL">
    <w:charset w:val="01"/>
    <w:family w:val="roman"/>
    <w:pitch w:val="variable"/>
  </w:font>
  <w:font w:name="arial">
    <w:charset w:val="01"/>
    <w:family w:val="swiss"/>
    <w:pitch w:val="default"/>
  </w:font>
  <w:font w:name="Arial">
    <w:charset w:val="01"/>
    <w:family w:val="swiss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Arial" w:hAnsi="Arial"/>
      </w:rPr>
    </w:pPr>
    <w:r>
      <w:rPr>
        <w:rFonts w:ascii="Arial" w:hAnsi="Arial"/>
      </w:rPr>
      <w:t>_______________________________________________________________________</w:t>
    </w:r>
  </w:p>
  <w:p>
    <w:pPr>
      <w:pStyle w:val="Rodap"/>
      <w:jc w:val="center"/>
      <w:rPr>
        <w:rFonts w:ascii="Arial" w:hAnsi="Arial"/>
      </w:rPr>
    </w:pPr>
    <w:r>
      <w:rPr>
        <w:rFonts w:ascii="Arial" w:hAnsi="Arial"/>
      </w:rPr>
      <w:t>Rua Presidente Tancredo Neves, 500 – Bom Pastor – Varginha MG – 37.014-460</w:t>
    </w:r>
  </w:p>
  <w:p>
    <w:pPr>
      <w:pStyle w:val="Rodap"/>
      <w:jc w:val="center"/>
      <w:rPr>
        <w:rFonts w:ascii="Arial" w:hAnsi="Arial"/>
      </w:rPr>
    </w:pPr>
    <w:r>
      <w:rPr>
        <w:rFonts w:ascii="Arial" w:hAnsi="Arial"/>
      </w:rPr>
      <w:t>CNPJ 19.110.162/0001-00 – Inscrição Estadual Isento – 35 3606.3591/3592/3593/3594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left" w:pos="2031" w:leader="none"/>
        <w:tab w:val="center" w:pos="4252" w:leader="none"/>
        <w:tab w:val="right" w:pos="8504" w:leader="none"/>
      </w:tabs>
      <w:ind w:left="0" w:right="0" w:hanging="1134"/>
      <w:rPr/>
    </w:pPr>
    <w:r>
      <w:rPr/>
      <w:drawing>
        <wp:inline distT="0" distB="0" distL="0" distR="0">
          <wp:extent cx="7229475" cy="1365250"/>
          <wp:effectExtent l="0" t="0" r="0" b="0"/>
          <wp:docPr id="1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47" t="-1763" r="-347" b="-1763"/>
                  <a:stretch>
                    <a:fillRect/>
                  </a:stretch>
                </pic:blipFill>
                <pic:spPr bwMode="auto">
                  <a:xfrm>
                    <a:off x="0" y="0"/>
                    <a:ext cx="7229475" cy="1365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align>center</wp:align>
          </wp:positionH>
          <wp:positionV relativeFrom="margin">
            <wp:align>center</wp:align>
          </wp:positionV>
          <wp:extent cx="3201670" cy="3201670"/>
          <wp:effectExtent l="0" t="0" r="0" b="0"/>
          <wp:wrapNone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779" t="-779" r="-779" b="-779"/>
                  <a:stretch>
                    <a:fillRect/>
                  </a:stretch>
                </pic:blipFill>
                <pic:spPr bwMode="auto">
                  <a:xfrm>
                    <a:off x="0" y="0"/>
                    <a:ext cx="3201670" cy="3201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;Calibri"/>
      <w:color w:val="00000A"/>
      <w:kern w:val="0"/>
      <w:sz w:val="22"/>
      <w:szCs w:val="22"/>
      <w:lang w:val="pt-BR" w:eastAsia="zh-CN" w:bidi="ar-SA"/>
    </w:rPr>
  </w:style>
  <w:style w:type="paragraph" w:styleId="Ttulo6">
    <w:name w:val="Heading 6"/>
    <w:basedOn w:val="Normal"/>
    <w:next w:val="Normal"/>
    <w:qFormat/>
    <w:pPr>
      <w:keepNext w:val="true"/>
      <w:ind w:left="0" w:right="0" w:hanging="0"/>
      <w:jc w:val="center"/>
      <w:outlineLvl w:val="5"/>
    </w:pPr>
    <w:rPr>
      <w:b/>
      <w:sz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Fontepargpadro">
    <w:name w:val="Fonte parág. padrão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">
    <w:name w:val="Default Paragraph Font"/>
    <w:qFormat/>
    <w:rPr/>
  </w:style>
  <w:style w:type="character" w:styleId="CabealhoChar">
    <w:name w:val="Cabeçalho Char"/>
    <w:basedOn w:val="DefaultParagraphFont"/>
    <w:qFormat/>
    <w:rPr/>
  </w:style>
  <w:style w:type="character" w:styleId="RodapChar">
    <w:name w:val="Rodapé Char"/>
    <w:basedOn w:val="DefaultParagraphFont"/>
    <w:qFormat/>
    <w:rPr/>
  </w:style>
  <w:style w:type="character" w:styleId="TextodebaloChar">
    <w:name w:val="Texto de balão Char"/>
    <w:qFormat/>
    <w:rPr>
      <w:rFonts w:ascii="Tahoma" w:hAnsi="Tahoma" w:cs="Tahoma"/>
      <w:sz w:val="16"/>
      <w:szCs w:val="16"/>
    </w:rPr>
  </w:style>
  <w:style w:type="character" w:styleId="WWFontepargpadro1111">
    <w:name w:val="WW-Fonte parág. padrão1111"/>
    <w:qFormat/>
    <w:rPr/>
  </w:style>
  <w:style w:type="character" w:styleId="LinkdaInternet">
    <w:name w:val="Hyperlink"/>
    <w:basedOn w:val="WWFontepargpadro1111"/>
    <w:rPr>
      <w:color w:val="0000FF"/>
      <w:u w:val="single"/>
    </w:rPr>
  </w:style>
  <w:style w:type="character" w:styleId="Teletipo">
    <w:name w:val="Teletipo"/>
    <w:qFormat/>
    <w:rPr>
      <w:rFonts w:ascii="DejaVu Sans Mono;Yu Gothic" w:hAnsi="DejaVu Sans Mono;Yu Gothic" w:eastAsia="DejaVu Sans Mono;Yu Gothic" w:cs="DejaVu Sans Mono;Yu Gothic"/>
    </w:rPr>
  </w:style>
  <w:style w:type="character" w:styleId="WW8Num5z0">
    <w:name w:val="WW8Num5z0"/>
    <w:qFormat/>
    <w:rPr>
      <w:rFonts w:ascii="Arial" w:hAnsi="Arial" w:cs="Arial"/>
    </w:rPr>
  </w:style>
  <w:style w:type="character" w:styleId="WW8Num6z0">
    <w:name w:val="WW8Num6z0"/>
    <w:qFormat/>
    <w:rPr>
      <w:rFonts w:ascii="Arial" w:hAnsi="Arial" w:cs="Arial"/>
      <w:b w:val="false"/>
      <w:bCs w:val="false"/>
      <w:i w:val="false"/>
      <w:iCs w:val="false"/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Marcadores">
    <w:name w:val="Marcadore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;Arial" w:hAnsi="Liberation Sans;Arial" w:eastAsia="DejaVu Sans" w:cs="DejaVu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FreeSans;Calib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;Calib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;Calibri"/>
    </w:rPr>
  </w:style>
  <w:style w:type="paragraph" w:styleId="Ttulo1">
    <w:name w:val="Título1"/>
    <w:basedOn w:val="Normal"/>
    <w:qFormat/>
    <w:pPr>
      <w:keepNext w:val="true"/>
      <w:spacing w:before="240" w:after="120"/>
    </w:pPr>
    <w:rPr>
      <w:rFonts w:ascii="Liberation Sans;Arial" w:hAnsi="Liberation Sans;Arial" w:eastAsia="DejaVu Sans" w:cs="FreeSans;Calibri"/>
      <w:sz w:val="28"/>
      <w:szCs w:val="2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4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pPr>
      <w:tabs>
        <w:tab w:val="clear" w:pos="4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ListParagraph">
    <w:name w:val="List Paragraph"/>
    <w:basedOn w:val="Normal"/>
    <w:qFormat/>
    <w:pPr>
      <w:suppressAutoHyphens w:val="true"/>
      <w:ind w:left="720" w:right="0" w:hanging="0"/>
    </w:pPr>
    <w:rPr/>
  </w:style>
  <w:style w:type="paragraph" w:styleId="LONormal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DejaVu Sans"/>
      <w:color w:val="auto"/>
      <w:kern w:val="0"/>
      <w:sz w:val="20"/>
      <w:szCs w:val="22"/>
      <w:lang w:val="pt-BR" w:eastAsia="en-US" w:bidi="ar-SA"/>
    </w:rPr>
  </w:style>
  <w:style w:type="paragraph" w:styleId="PargrafodaLista">
    <w:name w:val="Parágrafo da Lista"/>
    <w:basedOn w:val="Normal"/>
    <w:qFormat/>
    <w:pPr>
      <w:suppressAutoHyphens w:val="true"/>
      <w:ind w:left="720" w:right="0" w:hanging="0"/>
    </w:pPr>
    <w:rPr/>
  </w:style>
  <w:style w:type="numbering" w:styleId="WW8Num1">
    <w:name w:val="WW8Num1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2953</TotalTime>
  <Application>LibreOffice/7.4.7.2$Linux_X86_64 LibreOffice_project/40$Build-2</Application>
  <AppVersion>15.0000</AppVersion>
  <Pages>4</Pages>
  <Words>1010</Words>
  <Characters>6113</Characters>
  <CharactersWithSpaces>7040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2021-11-09T13:22:00Z</dcterms:created>
  <dc:creator>Odillon</dc:creator>
  <dc:description/>
  <dc:language>pt-BR</dc:language>
  <cp:lastModifiedBy/>
  <cp:lastPrinted>1995-11-21T17:41:00Z</cp:lastPrinted>
  <dcterms:modified xsi:type="dcterms:W3CDTF">2026-07-02T10:30:05Z</dcterms:modified>
  <cp:revision>652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