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header1.xml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media/image1.png" ContentType="image/png"/>
  <Override PartName="/word/media/image2.png" ContentType="image/png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fontTable.xml" ContentType="application/vnd.openxmlformats-officedocument.wordprocessingml.fontTabl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rFonts w:ascii="arial" w:hAnsi="arial" w:eastAsia="Times New Roman" w:cs="arial"/>
          <w:b/>
          <w:b/>
          <w:bCs/>
          <w:color w:val="00000A"/>
          <w:sz w:val="24"/>
          <w:szCs w:val="24"/>
          <w:u w:val="single"/>
          <w:lang w:val="pt-BR" w:eastAsia="zxx" w:bidi="ar-SA"/>
        </w:rPr>
      </w:pPr>
      <w:r>
        <w:rPr>
          <w:rFonts w:eastAsia="Times New Roman" w:cs="arial" w:ascii="arial" w:hAnsi="arial"/>
          <w:b/>
          <w:bCs/>
          <w:color w:val="00000A"/>
          <w:sz w:val="24"/>
          <w:szCs w:val="24"/>
          <w:u w:val="single"/>
          <w:lang w:val="pt-BR" w:eastAsia="zxx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/>
      </w:pPr>
      <w:r>
        <w:rPr>
          <w:rFonts w:eastAsia="Times New Roman" w:cs="arial" w:ascii="arial" w:hAnsi="arial"/>
          <w:b/>
          <w:bCs/>
          <w:color w:val="00000A"/>
          <w:sz w:val="24"/>
          <w:szCs w:val="24"/>
          <w:u w:val="single"/>
          <w:lang w:val="pt-BR" w:eastAsia="zxx" w:bidi="ar-SA"/>
        </w:rPr>
        <w:t>INTENÇÃO DE REGISTRO DE PREÇOS Nº 013/2026</w:t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rFonts w:eastAsia="Calibri" w:cs="Calibri"/>
          <w:color w:val="00000A"/>
          <w:sz w:val="16"/>
          <w:szCs w:val="20"/>
          <w:lang w:val="pt-BR" w:eastAsia="zxx" w:bidi="ar-SA"/>
        </w:rPr>
      </w:pPr>
      <w:r>
        <w:rPr>
          <w:rFonts w:eastAsia="Calibri" w:cs="Calibri"/>
          <w:color w:val="00000A"/>
          <w:sz w:val="16"/>
          <w:szCs w:val="20"/>
          <w:lang w:val="pt-BR" w:eastAsia="zxx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u w:val="none"/>
        </w:rPr>
      </w:pPr>
      <w:r>
        <w:rPr>
          <w:rFonts w:eastAsia="Times New Roman" w:cs="arial" w:ascii="arial" w:hAnsi="arial"/>
          <w:b/>
          <w:bCs/>
          <w:color w:val="00000A"/>
          <w:sz w:val="24"/>
          <w:szCs w:val="24"/>
          <w:u w:val="none"/>
          <w:lang w:val="pt-BR" w:eastAsia="zxx" w:bidi="ar-SA"/>
        </w:rPr>
        <w:t>SOLICITAÇÃO DE PARTICIPAÇÃO</w:t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rFonts w:ascii="arial" w:hAnsi="arial" w:eastAsia="Times New Roman" w:cs="arial"/>
          <w:color w:val="00000A"/>
          <w:sz w:val="24"/>
          <w:szCs w:val="24"/>
          <w:lang w:val="pt-BR" w:eastAsia="zxx" w:bidi="ar-SA"/>
        </w:rPr>
      </w:pPr>
      <w:r>
        <w:rPr>
          <w:rFonts w:eastAsia="Times New Roman" w:cs="arial" w:ascii="arial" w:hAnsi="arial"/>
          <w:color w:val="00000A"/>
          <w:sz w:val="24"/>
          <w:szCs w:val="24"/>
          <w:lang w:val="pt-BR" w:eastAsia="zxx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ascii="Arial" w:hAnsi="Arial" w:eastAsia="Times New Roman" w:cs="Arial"/>
          <w:b/>
          <w:b/>
          <w:bCs/>
          <w:color w:val="000000"/>
          <w:sz w:val="24"/>
          <w:szCs w:val="24"/>
          <w:lang w:eastAsia="ar-SA"/>
        </w:rPr>
      </w:pPr>
      <w:r>
        <w:rPr>
          <w:rFonts w:eastAsia="Times New Roman" w:cs="Arial" w:ascii="Arial" w:hAnsi="Arial"/>
          <w:b/>
          <w:bCs/>
          <w:color w:val="000000"/>
          <w:sz w:val="24"/>
          <w:szCs w:val="24"/>
          <w:lang w:eastAsia="ar-SA"/>
        </w:rPr>
        <w:t>1. OBJETO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eastAsia="Times New Roman" w:cs="Arial"/>
          <w:color w:val="000000"/>
          <w:sz w:val="24"/>
          <w:szCs w:val="24"/>
          <w:lang w:eastAsia="ar-SA"/>
        </w:rPr>
      </w:pPr>
      <w:r>
        <w:rPr>
          <w:rFonts w:eastAsia="Times New Roman" w:cs="Arial"/>
          <w:color w:val="000000"/>
          <w:sz w:val="24"/>
          <w:szCs w:val="24"/>
          <w:lang w:eastAsia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Fonts w:eastAsia="Times New Roman" w:cs="Arial" w:ascii="Arial" w:hAnsi="Arial"/>
          <w:color w:val="000000"/>
          <w:sz w:val="24"/>
          <w:szCs w:val="24"/>
          <w:lang w:val="pt-BR" w:eastAsia="ar-SA" w:bidi="ar-SA"/>
        </w:rPr>
        <w:t xml:space="preserve">1.1. Constitui objeto deste instrumento a </w:t>
      </w:r>
      <w:r>
        <w:rPr>
          <w:rFonts w:eastAsia="Times New Roman" w:cs="Arial" w:ascii="ARIAL" w:hAnsi="ARIAL"/>
          <w:b/>
          <w:bCs/>
          <w:color w:val="000000"/>
          <w:sz w:val="24"/>
          <w:szCs w:val="24"/>
          <w:lang w:val="pt-BR" w:eastAsia="ar-SA" w:bidi="ar-SA"/>
        </w:rPr>
        <w:t>CONTRATAÇÃO DE SERVIÇOS DE MANUTENÇÃO CORRETIVA EM INSTRUMENTAIS CIRÚRGICOS</w:t>
      </w:r>
      <w:r>
        <w:rPr>
          <w:rFonts w:eastAsia="Times New Roman" w:cs="Arial" w:ascii="Arial" w:hAnsi="Arial"/>
          <w:b w:val="false"/>
          <w:bCs w:val="false"/>
          <w:color w:val="000000"/>
          <w:sz w:val="24"/>
          <w:szCs w:val="24"/>
          <w:highlight w:val="white"/>
          <w:lang w:val="pt-BR" w:eastAsia="ar-SA" w:bidi="ar-SA"/>
        </w:rPr>
        <w:t>, via Sistema de Registro de Preços,</w:t>
      </w:r>
      <w:r>
        <w:rPr>
          <w:rFonts w:eastAsia="Times New Roman" w:cs="Arial" w:ascii="Arial" w:hAnsi="Arial"/>
          <w:color w:val="000000"/>
          <w:sz w:val="24"/>
          <w:szCs w:val="24"/>
          <w:highlight w:val="white"/>
          <w:lang w:val="pt-BR" w:eastAsia="ar-SA" w:bidi="ar-SA"/>
        </w:rPr>
        <w:t xml:space="preserve"> para atendimento aos Órgãos da Administração Direta e Indireta do Município de Varginha.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highlight w:val="white"/>
        </w:rPr>
      </w:pPr>
      <w:r>
        <w:rPr>
          <w:highlight w:val="white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ascii="Arial" w:hAnsi="Arial" w:eastAsia="Times New Roman" w:cs="Arial"/>
          <w:color w:val="000000"/>
          <w:sz w:val="24"/>
          <w:szCs w:val="24"/>
          <w:lang w:val="pt-BR" w:eastAsia="ar-SA" w:bidi="ar-SA"/>
        </w:rPr>
      </w:pPr>
      <w:r>
        <w:rPr>
          <w:rFonts w:eastAsia="Times New Roman" w:cs="Arial" w:ascii="Arial" w:hAnsi="Arial"/>
          <w:color w:val="000000"/>
          <w:sz w:val="24"/>
          <w:szCs w:val="24"/>
          <w:highlight w:val="white"/>
          <w:lang w:val="pt-BR" w:eastAsia="ar-SA" w:bidi="ar-SA"/>
        </w:rPr>
        <w:t>1.2. Estima-se a aquisição dos seguintes itens e respectivas quantidades: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highlight w:val="white"/>
        </w:rPr>
      </w:pPr>
      <w:r>
        <w:rPr>
          <w:highlight w:val="white"/>
        </w:rPr>
      </w:r>
    </w:p>
    <w:tbl>
      <w:tblPr>
        <w:tblW w:w="9240" w:type="dxa"/>
        <w:jc w:val="left"/>
        <w:tblInd w:w="-22" w:type="dxa"/>
        <w:tblLayout w:type="fixed"/>
        <w:tblCellMar>
          <w:top w:w="0" w:type="dxa"/>
          <w:left w:w="2" w:type="dxa"/>
          <w:bottom w:w="0" w:type="dxa"/>
          <w:right w:w="57" w:type="dxa"/>
        </w:tblCellMar>
      </w:tblPr>
      <w:tblGrid>
        <w:gridCol w:w="667"/>
        <w:gridCol w:w="4010"/>
        <w:gridCol w:w="1679"/>
        <w:gridCol w:w="1459"/>
        <w:gridCol w:w="1425"/>
      </w:tblGrid>
      <w:tr>
        <w:trPr/>
        <w:tc>
          <w:tcPr>
            <w:tcW w:w="6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bidi w:val="0"/>
              <w:snapToGrid w:val="false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eastAsia="Times New Roman" w:cs="Arial" w:ascii="Arial" w:hAnsi="Arial"/>
                <w:b/>
                <w:bCs/>
                <w:sz w:val="22"/>
                <w:szCs w:val="22"/>
              </w:rPr>
              <w:t>Item</w:t>
            </w:r>
            <w:r>
              <w:rPr>
                <w:rFonts w:eastAsia="Times New Roman" w:cs="Arial" w:ascii="Arial" w:hAnsi="Arial"/>
                <w:b/>
                <w:bCs/>
                <w:color w:val="FF3333"/>
                <w:sz w:val="22"/>
                <w:szCs w:val="22"/>
              </w:rPr>
              <w:t>*</w:t>
            </w:r>
          </w:p>
        </w:tc>
        <w:tc>
          <w:tcPr>
            <w:tcW w:w="40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bidi w:val="0"/>
              <w:snapToGrid w:val="false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eastAsia="Times New Roman" w:cs="Arial" w:ascii="Arial" w:hAnsi="Arial"/>
                <w:b/>
                <w:bCs/>
                <w:sz w:val="22"/>
                <w:szCs w:val="22"/>
              </w:rPr>
              <w:t>Especificação</w:t>
            </w:r>
          </w:p>
        </w:tc>
        <w:tc>
          <w:tcPr>
            <w:tcW w:w="16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bidi w:val="0"/>
              <w:snapToGrid w:val="false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ascii="Arial" w:hAnsi="Arial"/>
                <w:b/>
                <w:bCs/>
                <w:sz w:val="22"/>
                <w:szCs w:val="22"/>
              </w:rPr>
              <w:t>Quantidade para 12 meses</w:t>
            </w:r>
          </w:p>
        </w:tc>
        <w:tc>
          <w:tcPr>
            <w:tcW w:w="14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bidi w:val="0"/>
              <w:snapToGrid w:val="false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ascii="Arial" w:hAnsi="Arial"/>
                <w:b/>
                <w:bCs/>
                <w:sz w:val="22"/>
                <w:szCs w:val="22"/>
              </w:rPr>
              <w:t>Valor unit.</w:t>
            </w:r>
            <w:r>
              <w:rPr>
                <w:rFonts w:ascii="Arial" w:hAnsi="Arial"/>
                <w:b/>
                <w:bCs/>
                <w:color w:val="FF3333"/>
                <w:sz w:val="22"/>
                <w:szCs w:val="22"/>
              </w:rPr>
              <w:t>**</w:t>
            </w:r>
          </w:p>
        </w:tc>
        <w:tc>
          <w:tcPr>
            <w:tcW w:w="142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bidi w:val="0"/>
              <w:snapToGrid w:val="false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ascii="Arial" w:hAnsi="Arial"/>
                <w:b/>
                <w:bCs/>
                <w:sz w:val="22"/>
                <w:szCs w:val="22"/>
              </w:rPr>
              <w:t>Valor Total</w:t>
            </w:r>
          </w:p>
        </w:tc>
      </w:tr>
      <w:tr>
        <w:trPr>
          <w:trHeight w:val="1437" w:hRule="atLeast"/>
        </w:trPr>
        <w:tc>
          <w:tcPr>
            <w:tcW w:w="6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tabs>
                <w:tab w:val="clear" w:pos="408"/>
                <w:tab w:val="left" w:pos="457" w:leader="none"/>
              </w:tabs>
              <w:bidi w:val="0"/>
              <w:spacing w:lineRule="auto" w:line="240" w:before="0" w:after="0"/>
              <w:ind w:left="0" w:right="0" w:hanging="0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eastAsia="Times New Roman" w:cs="Arial" w:ascii="Arial" w:hAnsi="Arial"/>
                <w:sz w:val="22"/>
                <w:szCs w:val="22"/>
              </w:rPr>
            </w:r>
          </w:p>
        </w:tc>
        <w:tc>
          <w:tcPr>
            <w:tcW w:w="40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tabs>
                <w:tab w:val="clear" w:pos="408"/>
                <w:tab w:val="left" w:pos="457" w:leader="none"/>
              </w:tabs>
              <w:bidi w:val="0"/>
              <w:spacing w:lineRule="auto" w:line="240" w:before="0" w:after="0"/>
              <w:ind w:left="0" w:right="0" w:hanging="0"/>
              <w:jc w:val="both"/>
              <w:rPr>
                <w:rStyle w:val="Fontepargpadro"/>
                <w:rFonts w:ascii="Arial" w:hAnsi="Arial" w:eastAsia="Times New Roman" w:cs="Arial"/>
                <w:b w:val="false"/>
                <w:b w:val="false"/>
                <w:bCs w:val="false"/>
                <w:i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A"/>
                <w:spacing w:val="0"/>
                <w:highlight w:val="white"/>
                <w:u w:val="none"/>
                <w:lang w:val="pt-BR" w:eastAsia="zxx" w:bidi="ar-SA"/>
              </w:rPr>
            </w:pPr>
            <w:r>
              <w:rPr>
                <w:rFonts w:eastAsia="Times New Roman" w:cs="Arial" w:ascii="Arial" w:hAnsi="Arial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A"/>
                <w:spacing w:val="0"/>
                <w:highlight w:val="white"/>
                <w:u w:val="none"/>
                <w:lang w:val="pt-BR" w:eastAsia="zxx" w:bidi="ar-SA"/>
              </w:rPr>
            </w:r>
          </w:p>
        </w:tc>
        <w:tc>
          <w:tcPr>
            <w:tcW w:w="16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tabs>
                <w:tab w:val="clear" w:pos="408"/>
                <w:tab w:val="left" w:pos="457" w:leader="none"/>
              </w:tabs>
              <w:bidi w:val="0"/>
              <w:spacing w:lineRule="auto" w:line="240" w:before="0" w:after="0"/>
              <w:ind w:left="0" w:right="0" w:hanging="0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</w:r>
          </w:p>
        </w:tc>
        <w:tc>
          <w:tcPr>
            <w:tcW w:w="14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tabs>
                <w:tab w:val="clear" w:pos="408"/>
                <w:tab w:val="left" w:pos="457" w:leader="none"/>
              </w:tabs>
              <w:bidi w:val="0"/>
              <w:snapToGrid w:val="false"/>
              <w:spacing w:lineRule="auto" w:line="240" w:before="0" w:after="0"/>
              <w:ind w:left="0" w:right="0" w:hanging="0"/>
              <w:jc w:val="center"/>
              <w:rPr>
                <w:rFonts w:ascii="Arial" w:hAnsi="Arial"/>
                <w:b w:val="false"/>
                <w:b w:val="false"/>
                <w:bCs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sz w:val="21"/>
                <w:szCs w:val="21"/>
                <w:u w:val="none"/>
                <w:em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strike w:val="false"/>
                <w:dstrike w:val="false"/>
                <w:outline w:val="false"/>
                <w:shadow w:val="false"/>
                <w:sz w:val="21"/>
                <w:szCs w:val="21"/>
                <w:u w:val="none"/>
                <w:em w:val="none"/>
              </w:rPr>
            </w:r>
          </w:p>
        </w:tc>
        <w:tc>
          <w:tcPr>
            <w:tcW w:w="142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tabs>
                <w:tab w:val="clear" w:pos="408"/>
                <w:tab w:val="left" w:pos="457" w:leader="none"/>
              </w:tabs>
              <w:bidi w:val="0"/>
              <w:snapToGrid w:val="false"/>
              <w:spacing w:lineRule="auto" w:line="240" w:before="0" w:after="0"/>
              <w:ind w:left="0" w:right="0" w:hanging="0"/>
              <w:jc w:val="center"/>
              <w:rPr>
                <w:rFonts w:ascii="Arial" w:hAnsi="Arial"/>
                <w:b/>
                <w:b/>
                <w:bCs/>
                <w:sz w:val="22"/>
                <w:szCs w:val="22"/>
              </w:rPr>
            </w:pPr>
            <w:r>
              <w:rPr>
                <w:rFonts w:ascii="Arial" w:hAnsi="Arial"/>
                <w:b/>
                <w:bCs/>
                <w:sz w:val="22"/>
                <w:szCs w:val="22"/>
              </w:rPr>
            </w:r>
          </w:p>
        </w:tc>
      </w:tr>
    </w:tbl>
    <w:p>
      <w:pPr>
        <w:pStyle w:val="Normal"/>
        <w:tabs>
          <w:tab w:val="clear" w:pos="408"/>
          <w:tab w:val="left" w:pos="0" w:leader="none"/>
        </w:tabs>
        <w:bidi w:val="0"/>
        <w:spacing w:lineRule="auto" w:line="240" w:before="0" w:after="0"/>
        <w:ind w:left="0" w:right="0" w:hanging="0"/>
        <w:jc w:val="left"/>
        <w:rPr>
          <w:rStyle w:val="LinkdaInternet"/>
          <w:sz w:val="14"/>
          <w:szCs w:val="14"/>
        </w:rPr>
      </w:pPr>
      <w:r>
        <w:rPr>
          <w:sz w:val="14"/>
          <w:szCs w:val="14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Fonts w:cs="arial" w:ascii="arial" w:hAnsi="arial"/>
          <w:color w:val="FF3333"/>
          <w:sz w:val="24"/>
          <w:szCs w:val="24"/>
        </w:rPr>
        <w:t>* Preencher o número do item conforme sequencial do Termo de Referência.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Fonts w:cs="arial" w:ascii="arial" w:hAnsi="arial"/>
          <w:color w:val="FF3333"/>
          <w:sz w:val="24"/>
          <w:szCs w:val="24"/>
        </w:rPr>
        <w:t>** Os valores unitários deverão ser preenchidos de acordo com os valores informados no Termo de Referência.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color w:val="FF3333"/>
          <w:sz w:val="24"/>
          <w:szCs w:val="24"/>
        </w:rPr>
      </w:pPr>
      <w:r>
        <w:rPr>
          <w:rFonts w:cs="arial" w:ascii="arial" w:hAnsi="arial"/>
          <w:color w:val="FF3333"/>
          <w:sz w:val="24"/>
          <w:szCs w:val="24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Fonts w:cs="arial" w:ascii="arial" w:hAnsi="arial"/>
          <w:b/>
          <w:bCs/>
          <w:color w:val="000000"/>
          <w:sz w:val="24"/>
          <w:szCs w:val="24"/>
        </w:rPr>
        <w:t xml:space="preserve">Obs¹.: </w:t>
      </w:r>
      <w:r>
        <w:rPr>
          <w:rFonts w:cs="arial" w:ascii="arial" w:hAnsi="arial"/>
          <w:color w:val="000000"/>
          <w:sz w:val="24"/>
          <w:szCs w:val="24"/>
        </w:rPr>
        <w:t>A solicitação deverá ser cadastrada no sistema Betha, com os códigos constantes no(s) item(ns) do Termo de Referência.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b/>
          <w:b/>
          <w:bCs/>
          <w:color w:val="000000"/>
          <w:sz w:val="24"/>
          <w:szCs w:val="24"/>
        </w:rPr>
      </w:pPr>
      <w:r>
        <w:rPr>
          <w:rFonts w:cs="arial" w:ascii="arial" w:hAnsi="arial"/>
          <w:b/>
          <w:bCs/>
          <w:color w:val="000000"/>
          <w:sz w:val="24"/>
          <w:szCs w:val="24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Fonts w:cs="arial" w:ascii="arial" w:hAnsi="arial"/>
          <w:b/>
          <w:bCs/>
          <w:color w:val="000000"/>
          <w:sz w:val="24"/>
          <w:szCs w:val="24"/>
        </w:rPr>
        <w:t xml:space="preserve">Obs².: </w:t>
      </w:r>
      <w:r>
        <w:rPr>
          <w:rFonts w:cs="arial" w:ascii="arial" w:hAnsi="arial"/>
          <w:b w:val="false"/>
          <w:bCs w:val="false"/>
          <w:color w:val="000000"/>
          <w:sz w:val="24"/>
          <w:szCs w:val="24"/>
          <w:u w:val="single"/>
        </w:rPr>
        <w:t xml:space="preserve">No momento do preenchimento da solicitação no sistema, deverá ser escolhida como </w:t>
      </w:r>
      <w:r>
        <w:rPr>
          <w:rFonts w:cs="arial" w:ascii="arial" w:hAnsi="arial"/>
          <w:b/>
          <w:bCs/>
          <w:color w:val="000000"/>
          <w:sz w:val="24"/>
          <w:szCs w:val="24"/>
          <w:u w:val="single"/>
        </w:rPr>
        <w:t>entidade gestora*</w:t>
      </w:r>
      <w:r>
        <w:rPr>
          <w:rFonts w:cs="arial" w:ascii="arial" w:hAnsi="arial"/>
          <w:b w:val="false"/>
          <w:bCs w:val="false"/>
          <w:color w:val="000000"/>
          <w:sz w:val="24"/>
          <w:szCs w:val="24"/>
          <w:u w:val="single"/>
        </w:rPr>
        <w:t xml:space="preserve"> a Fundação Hospitalar do Município de Varginha.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color w:val="FF3333"/>
          <w:sz w:val="26"/>
          <w:szCs w:val="26"/>
        </w:rPr>
      </w:pPr>
      <w:r>
        <w:rPr>
          <w:rFonts w:cs="arial" w:ascii="arial" w:hAnsi="arial"/>
          <w:color w:val="FF3333"/>
          <w:sz w:val="26"/>
          <w:szCs w:val="26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b/>
          <w:b/>
          <w:bCs/>
          <w:color w:val="000000"/>
          <w:sz w:val="24"/>
          <w:szCs w:val="24"/>
        </w:rPr>
      </w:pPr>
      <w:r>
        <w:rPr>
          <w:rFonts w:cs="arial" w:ascii="arial" w:hAnsi="arial"/>
          <w:b/>
          <w:bCs/>
          <w:color w:val="000000"/>
          <w:sz w:val="24"/>
          <w:szCs w:val="24"/>
        </w:rPr>
        <w:t>2. CONDIÇÕES GERAIS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color w:val="FF3333"/>
          <w:sz w:val="21"/>
          <w:szCs w:val="21"/>
        </w:rPr>
      </w:pPr>
      <w:r>
        <w:rPr>
          <w:rFonts w:cs="arial" w:ascii="arial" w:hAnsi="arial"/>
          <w:color w:val="FF3333"/>
          <w:sz w:val="21"/>
          <w:szCs w:val="21"/>
        </w:rPr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/>
      </w:pPr>
      <w:r>
        <w:rPr>
          <w:rFonts w:cs="arial" w:ascii="Arial" w:hAnsi="Arial"/>
          <w:color w:val="000000"/>
          <w:sz w:val="24"/>
          <w:szCs w:val="24"/>
          <w:shd w:fill="FFFFFF" w:val="clear"/>
        </w:rPr>
        <w:t>2.1. A execução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FFFFFF" w:val="clear"/>
          <w:lang w:val="pt-BR" w:eastAsia="zxx" w:bidi="ar-SA"/>
        </w:rPr>
        <w:t xml:space="preserve"> dos serviços de manutenção corretiva nos instrumentais cirúrgicos processar-se-á de forma parcelada, mediante solicitação.</w:t>
      </w:r>
    </w:p>
    <w:p>
      <w:pPr>
        <w:pStyle w:val="Normal"/>
        <w:bidi w:val="0"/>
        <w:spacing w:lineRule="auto" w:line="252" w:before="0" w:after="0"/>
        <w:jc w:val="both"/>
        <w:rPr>
          <w:rStyle w:val="Fontepargpadro"/>
          <w:rFonts w:ascii="Arial" w:hAnsi="Arial" w:cs="Arial"/>
          <w:bCs/>
        </w:rPr>
      </w:pPr>
      <w:r>
        <w:rPr>
          <w:rFonts w:cs="Arial" w:ascii="Arial" w:hAnsi="Arial"/>
          <w:bCs/>
        </w:rPr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/>
      </w:pPr>
      <w:r>
        <w:rPr>
          <w:rFonts w:eastAsia="Calibri" w:cs="arial" w:ascii="Arial" w:hAnsi="Arial"/>
          <w:color w:val="000000"/>
          <w:sz w:val="24"/>
          <w:szCs w:val="24"/>
          <w:shd w:fill="FFFFFF" w:val="clear"/>
          <w:lang w:val="pt-BR" w:eastAsia="zh-CN" w:bidi="ar-SA"/>
        </w:rPr>
        <w:t xml:space="preserve">2.2. 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highlight w:val="white"/>
          <w:lang w:val="pt-BR" w:eastAsia="zxx" w:bidi="ar-SA"/>
        </w:rPr>
        <w:t xml:space="preserve">O prazo de início da contratação dar-se-á a partir da assinatura da Ata. </w:t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>
          <w:rStyle w:val="Fontepargpadro"/>
          <w:rFonts w:eastAsia="Calibri"/>
          <w:i w:val="false"/>
          <w:i w:val="false"/>
          <w:iCs w:val="false"/>
          <w:lang w:val="pt-BR" w:eastAsia="zh-CN" w:bidi="ar-SA"/>
        </w:rPr>
      </w:pPr>
      <w:r>
        <w:rPr>
          <w:rFonts w:eastAsia="Calibri"/>
          <w:i w:val="false"/>
          <w:iCs w:val="false"/>
          <w:lang w:val="pt-BR" w:eastAsia="zh-CN" w:bidi="ar-SA"/>
        </w:rPr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FFFFFF" w:val="clear"/>
          <w:lang w:val="pt-BR" w:eastAsia="zxx" w:bidi="ar-SA"/>
        </w:rPr>
        <w:t>2.3. Os serviços deverão ser executados em estrita observância às especificações contidas no Termo de Referência, leis e normas v</w:t>
      </w:r>
      <w:r>
        <w:rPr>
          <w:rStyle w:val="Fontepargpadro"/>
          <w:rFonts w:eastAsia="Times New Roman" w:cs="Times New Roman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FFFFFF" w:val="clear"/>
          <w:lang w:val="pt-BR" w:eastAsia="zxx" w:bidi="ar-SA"/>
        </w:rPr>
        <w:t xml:space="preserve">igentes. </w:t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Calibri" w:cs="Arial"/>
          <w:b w:val="false"/>
          <w:b w:val="false"/>
          <w:bCs w:val="false"/>
          <w:i w:val="false"/>
          <w:i w:val="false"/>
          <w:iCs w:val="false"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highlight w:val="white"/>
          <w:u w:val="none"/>
          <w:lang w:val="pt-BR" w:eastAsia="zh-CN" w:bidi="ar-SA"/>
        </w:rPr>
      </w:pPr>
      <w:r>
        <w:rPr>
          <w:rFonts w:eastAsia="Calibri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highlight w:val="white"/>
          <w:u w:val="none"/>
          <w:lang w:val="pt-BR" w:eastAsia="zh-CN" w:bidi="ar-SA"/>
        </w:rPr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Arial Unicode MS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auto" w:val="clear"/>
          <w:lang w:val="zxx" w:eastAsia="zxx" w:bidi="zxx"/>
        </w:rPr>
        <w:t xml:space="preserve">2.4. 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auto" w:val="clear"/>
          <w:lang w:val="pt-BR" w:eastAsia="zxx" w:bidi="ar-SA"/>
        </w:rPr>
        <w:t>Os i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FFFFFF" w:val="clear"/>
          <w:lang w:val="pt-BR" w:eastAsia="zxx" w:bidi="ar-SA"/>
        </w:rPr>
        <w:t xml:space="preserve">nstrumentais deverão ser retirados e entregues 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FFFFFF" w:val="clear"/>
          <w:lang w:val="zxx" w:eastAsia="pt-BR" w:bidi="zxx"/>
        </w:rPr>
        <w:t>…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FF3333"/>
          <w:kern w:val="2"/>
          <w:sz w:val="24"/>
          <w:szCs w:val="24"/>
          <w:u w:val="none"/>
          <w:shd w:fill="FFFFFF" w:val="clear"/>
          <w:lang w:val="pt-BR" w:eastAsia="pt-BR" w:bidi="ar-SA"/>
        </w:rPr>
        <w:t xml:space="preserve">(informar local com endereço, dias e horário para a 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FF3333"/>
          <w:kern w:val="2"/>
          <w:sz w:val="24"/>
          <w:szCs w:val="24"/>
          <w:u w:val="none"/>
          <w:shd w:fill="FFFFFF" w:val="clear"/>
          <w:lang w:val="pt-BR" w:eastAsia="pt-BR" w:bidi="ar-SA"/>
        </w:rPr>
        <w:t xml:space="preserve">retira e 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FF3333"/>
          <w:kern w:val="2"/>
          <w:sz w:val="24"/>
          <w:szCs w:val="24"/>
          <w:u w:val="none"/>
          <w:shd w:fill="FFFFFF" w:val="clear"/>
          <w:lang w:val="pt-BR" w:eastAsia="pt-BR" w:bidi="ar-SA"/>
        </w:rPr>
        <w:t>entrega)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auto" w:val="clear"/>
          <w:lang w:val="pt-BR" w:eastAsia="zxx" w:bidi="ar-SA"/>
        </w:rPr>
        <w:t>.</w:t>
      </w:r>
    </w:p>
    <w:p>
      <w:pPr>
        <w:pStyle w:val="Normal"/>
        <w:spacing w:before="0" w:after="0"/>
        <w:jc w:val="both"/>
        <w:rPr>
          <w:rStyle w:val="Fontepargpadro"/>
          <w:rFonts w:ascii="arial" w:hAnsi="arial" w:eastAsia="Times New Roman" w:cs="Arial"/>
          <w:b w:val="false"/>
          <w:b w:val="false"/>
          <w:bCs/>
          <w:i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auto" w:val="clear"/>
          <w:lang w:val="zxx" w:eastAsia="zxx" w:bidi="ar-SA"/>
        </w:rPr>
      </w:pPr>
      <w:r>
        <w:rPr>
          <w:rFonts w:eastAsia="Times New Roman" w:cs="Arial" w:ascii="arial" w:hAnsi="arial"/>
          <w:b w:val="false"/>
          <w:bCs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auto" w:val="clear"/>
          <w:lang w:val="zxx" w:eastAsia="zxx" w:bidi="ar-SA"/>
        </w:rPr>
      </w:r>
    </w:p>
    <w:p>
      <w:pPr>
        <w:pStyle w:val="Normal"/>
        <w:spacing w:before="0" w:after="0"/>
        <w:jc w:val="both"/>
        <w:rPr/>
      </w:pP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auto" w:val="clear"/>
          <w:lang w:val="pt-BR" w:eastAsia="zxx" w:bidi="ar-SA"/>
        </w:rPr>
        <w:t>2</w:t>
      </w:r>
      <w:r>
        <w:rPr>
          <w:rStyle w:val="Fontepargpadro"/>
          <w:rFonts w:eastAsia="Times New Roman" w:cs="Arial" w:ascii="arial" w:hAnsi="arial"/>
          <w:b w:val="false"/>
          <w:bCs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auto" w:val="clear"/>
          <w:lang w:val="zxx" w:eastAsia="zxx" w:bidi="ar-SA"/>
        </w:rPr>
        <w:t xml:space="preserve">.5. 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auto" w:val="clear"/>
          <w:lang w:val="pt-BR" w:eastAsia="pt-BR" w:bidi="ar-SA"/>
        </w:rPr>
        <w:t xml:space="preserve">O 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FFFFFF" w:val="clear"/>
          <w:lang w:val="pt-BR" w:eastAsia="pt-BR" w:bidi="ar-SA"/>
        </w:rPr>
        <w:t xml:space="preserve">prazo para entrega dos serviços será de </w:t>
      </w:r>
      <w:r>
        <w:rPr>
          <w:rStyle w:val="Fontepargpadro"/>
          <w:rFonts w:eastAsia="Times New Roman" w:cs="arial" w:ascii="arial" w:hAnsi="arial"/>
          <w:b/>
          <w:bCs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FFFFFF" w:val="clear"/>
          <w:lang w:val="pt-BR" w:eastAsia="pt-BR" w:bidi="ar-SA"/>
        </w:rPr>
        <w:t>10 (dez) dias úteis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FFFFFF" w:val="clear"/>
          <w:lang w:val="pt-BR" w:eastAsia="pt-BR" w:bidi="ar-SA"/>
        </w:rPr>
        <w:t>, contados do recebimento, pelo fornecedor, da Ordem de Compra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FFFFFF" w:val="clear"/>
          <w:lang w:val="pt-BR" w:eastAsia="zxx" w:bidi="ar-SA"/>
        </w:rPr>
        <w:t>/Autorização de Fornecimento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FFFFFF" w:val="clear"/>
          <w:lang w:val="pt-BR" w:eastAsia="pt-BR" w:bidi="ar-SA"/>
        </w:rPr>
        <w:t xml:space="preserve"> ou outro instrumento similar.</w:t>
      </w:r>
    </w:p>
    <w:p>
      <w:pPr>
        <w:pStyle w:val="Normal"/>
        <w:spacing w:before="0" w:after="0"/>
        <w:jc w:val="both"/>
        <w:rPr/>
      </w:pP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FFFFFF" w:val="clear"/>
          <w:lang w:val="pt-BR" w:eastAsia="pt-BR" w:bidi="ar-SA"/>
        </w:rPr>
        <w:t xml:space="preserve">2.6. 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auto" w:val="clear"/>
          <w:lang w:val="pt-BR" w:eastAsia="zxx" w:bidi="ar-SA"/>
        </w:rPr>
        <w:t>As manutenções deverão ser realizadas de acordo com a demanda do setor requisitante.</w:t>
      </w:r>
    </w:p>
    <w:p>
      <w:pPr>
        <w:pStyle w:val="Normal"/>
        <w:bidi w:val="0"/>
        <w:spacing w:lineRule="auto" w:line="252" w:before="0" w:after="0"/>
        <w:jc w:val="both"/>
        <w:rPr>
          <w:rStyle w:val="Fontepargpadro"/>
        </w:rPr>
      </w:pPr>
      <w:r>
        <w:rPr/>
      </w:r>
    </w:p>
    <w:p>
      <w:pPr>
        <w:pStyle w:val="Normal"/>
        <w:bidi w:val="0"/>
        <w:spacing w:lineRule="auto" w:line="252" w:before="0" w:after="0"/>
        <w:jc w:val="both"/>
        <w:rPr/>
      </w:pP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auto" w:val="clear"/>
          <w:lang w:val="pt-BR" w:eastAsia="zxx" w:bidi="ar-SA"/>
        </w:rPr>
        <w:t>2.7. As manutenções devem ser executadas conforme orientação dos manuais dos fabricantes dos materiais.</w:t>
      </w:r>
    </w:p>
    <w:p>
      <w:pPr>
        <w:pStyle w:val="Normal"/>
        <w:bidi w:val="0"/>
        <w:spacing w:lineRule="auto" w:line="252" w:before="0" w:after="0"/>
        <w:jc w:val="both"/>
        <w:rPr>
          <w:rStyle w:val="Fontepargpadro"/>
        </w:rPr>
      </w:pPr>
      <w:r>
        <w:rPr/>
      </w:r>
    </w:p>
    <w:p>
      <w:pPr>
        <w:pStyle w:val="Normal"/>
        <w:bidi w:val="0"/>
        <w:spacing w:lineRule="auto" w:line="252" w:before="0" w:after="0"/>
        <w:jc w:val="both"/>
        <w:rPr/>
      </w:pP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auto" w:val="clear"/>
          <w:lang w:val="pt-BR" w:eastAsia="zxx" w:bidi="ar-SA"/>
        </w:rPr>
        <w:t>2.8. A Contratada assumirá a responsabilidade e o ônus pelo fornecimento de todos os materiais de reposição e consumo necessário a revisão, manutenção e conservação dos instrumentais.</w:t>
      </w:r>
    </w:p>
    <w:p>
      <w:pPr>
        <w:pStyle w:val="Normal"/>
        <w:bidi w:val="0"/>
        <w:spacing w:lineRule="auto" w:line="252" w:before="0" w:after="0"/>
        <w:jc w:val="both"/>
        <w:rPr>
          <w:rStyle w:val="Fontepargpadro"/>
        </w:rPr>
      </w:pPr>
      <w:r>
        <w:rPr/>
      </w:r>
    </w:p>
    <w:p>
      <w:pPr>
        <w:pStyle w:val="Normal"/>
        <w:bidi w:val="0"/>
        <w:spacing w:lineRule="auto" w:line="252" w:before="0" w:after="0"/>
        <w:jc w:val="both"/>
        <w:rPr/>
      </w:pP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auto" w:val="clear"/>
          <w:lang w:val="pt-BR" w:eastAsia="zxx" w:bidi="ar-SA"/>
        </w:rPr>
        <w:t xml:space="preserve">2.9. As peças danificadas ou impróprias para uso, seja por desgaste de fabricação ou quebra decorrente de uso dos instrumentais, deverão ser repostas por peças novas e originais pela Contratada. </w:t>
      </w:r>
    </w:p>
    <w:p>
      <w:pPr>
        <w:pStyle w:val="Normal"/>
        <w:bidi w:val="0"/>
        <w:spacing w:lineRule="auto" w:line="252" w:before="0" w:after="0"/>
        <w:jc w:val="both"/>
        <w:rPr>
          <w:rStyle w:val="Fontepargpadro"/>
        </w:rPr>
      </w:pPr>
      <w:r>
        <w:rPr/>
      </w:r>
    </w:p>
    <w:p>
      <w:pPr>
        <w:pStyle w:val="Normal"/>
        <w:bidi w:val="0"/>
        <w:spacing w:lineRule="auto" w:line="252" w:before="0" w:after="0"/>
        <w:jc w:val="both"/>
        <w:rPr/>
      </w:pP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auto" w:val="clear"/>
          <w:lang w:val="zxx" w:eastAsia="zxx" w:bidi="zxx"/>
        </w:rPr>
        <w:t xml:space="preserve">2.10. Havendo necessidade de 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auto" w:val="clear"/>
          <w:lang w:val="pt-BR" w:eastAsia="pt-BR" w:bidi="ar-SA"/>
        </w:rPr>
        <w:t>substituição de peças durante a manutenção dos instrumentais, deverão ser utilizadas peças novas, de qualidade comprovada e em conformidade com as normas vigentes. Não será permitida a utilização de peças provenientes de reforma, reaproveitamento ou recondicionamento</w:t>
      </w:r>
    </w:p>
    <w:p>
      <w:pPr>
        <w:pStyle w:val="Normal"/>
        <w:bidi w:val="0"/>
        <w:spacing w:lineRule="auto" w:line="252" w:before="0" w:after="0"/>
        <w:jc w:val="both"/>
        <w:rPr>
          <w:rStyle w:val="Fontepargpadro"/>
        </w:rPr>
      </w:pPr>
      <w:r>
        <w:rPr/>
      </w:r>
    </w:p>
    <w:p>
      <w:pPr>
        <w:pStyle w:val="Normal"/>
        <w:bidi w:val="0"/>
        <w:spacing w:lineRule="auto" w:line="252" w:before="0" w:after="0"/>
        <w:jc w:val="both"/>
        <w:rPr/>
      </w:pP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auto" w:val="clear"/>
          <w:lang w:val="pt-BR" w:eastAsia="zxx" w:bidi="ar-SA"/>
        </w:rPr>
        <w:t xml:space="preserve">2.11. 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auto" w:val="clear"/>
          <w:lang w:val="zxx" w:eastAsia="zxx" w:bidi="zxx"/>
        </w:rPr>
        <w:t>A entrega dos itens compreende a montagem e instalação, quando necessário, dos itens sem gerar ônus para a Fundação.</w:t>
      </w:r>
    </w:p>
    <w:p>
      <w:pPr>
        <w:pStyle w:val="Normal"/>
        <w:bidi w:val="0"/>
        <w:spacing w:lineRule="auto" w:line="252" w:before="0" w:after="0"/>
        <w:jc w:val="both"/>
        <w:rPr>
          <w:rStyle w:val="Fontepargpadro"/>
        </w:rPr>
      </w:pPr>
      <w:r>
        <w:rPr/>
      </w:r>
    </w:p>
    <w:p>
      <w:pPr>
        <w:pStyle w:val="Normal"/>
        <w:bidi w:val="0"/>
        <w:spacing w:lineRule="auto" w:line="252" w:before="0" w:after="0"/>
        <w:jc w:val="both"/>
        <w:rPr/>
      </w:pP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auto" w:val="clear"/>
          <w:lang w:val="zxx" w:eastAsia="zxx" w:bidi="zxx"/>
        </w:rPr>
        <w:t>2.12. As ferramentas e os equipamentos necessários para realização dos serviços prestados como analisadores, simuladores, ferramentas e outros, serão de responsabilidade da Contratada.</w:t>
      </w:r>
    </w:p>
    <w:p>
      <w:pPr>
        <w:pStyle w:val="Normal"/>
        <w:bidi w:val="0"/>
        <w:spacing w:lineRule="auto" w:line="252" w:before="0" w:after="0"/>
        <w:jc w:val="both"/>
        <w:rPr>
          <w:rStyle w:val="Fontepargpadro"/>
        </w:rPr>
      </w:pPr>
      <w:r>
        <w:rPr/>
      </w:r>
    </w:p>
    <w:p>
      <w:pPr>
        <w:pStyle w:val="Normal"/>
        <w:bidi w:val="0"/>
        <w:spacing w:lineRule="auto" w:line="252" w:before="0" w:after="0"/>
        <w:jc w:val="both"/>
        <w:rPr>
          <w:rFonts w:ascii="Arial" w:hAnsi="Arial" w:eastAsia="Times New Roman" w:cs="Arial"/>
          <w:b w:val="false"/>
          <w:b w:val="false"/>
          <w:bCs w:val="false"/>
          <w:i w:val="false"/>
          <w:i w:val="false"/>
          <w:iCs w:val="false"/>
          <w:caps w:val="false"/>
          <w:smallCaps w:val="false"/>
          <w:strike w:val="false"/>
          <w:dstrike w:val="false"/>
          <w:color w:val="auto"/>
          <w:kern w:val="2"/>
          <w:sz w:val="24"/>
          <w:szCs w:val="24"/>
          <w:u w:val="none"/>
          <w:shd w:fill="auto" w:val="clear"/>
          <w:lang w:val="zxx" w:eastAsia="zxx" w:bidi="zxx"/>
        </w:rPr>
      </w:pP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auto" w:val="clear"/>
          <w:lang w:val="zxx" w:eastAsia="zxx" w:bidi="zxx"/>
        </w:rPr>
        <w:t>2.13. Caberá a Contratante informar à empresa contratada quando ocorrer algum defeito nas peças fornecidas ou nos serviços prestados e solicitar sua imediata substituição ou refazimento dos serviços.</w:t>
      </w:r>
    </w:p>
    <w:p>
      <w:pPr>
        <w:pStyle w:val="Normal"/>
        <w:bidi w:val="0"/>
        <w:spacing w:lineRule="auto" w:line="252" w:before="0" w:after="0"/>
        <w:jc w:val="both"/>
        <w:rPr>
          <w:rStyle w:val="Fontepargpadro"/>
        </w:rPr>
      </w:pPr>
      <w:r>
        <w:rPr/>
      </w:r>
    </w:p>
    <w:p>
      <w:pPr>
        <w:pStyle w:val="Normal"/>
        <w:bidi w:val="0"/>
        <w:spacing w:lineRule="auto" w:line="252" w:before="0" w:after="0"/>
        <w:jc w:val="both"/>
        <w:rPr/>
      </w:pP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auto" w:val="clear"/>
          <w:lang w:val="zxx" w:eastAsia="zxx" w:bidi="zxx"/>
        </w:rPr>
        <w:t xml:space="preserve">2.14. 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pacing w:val="0"/>
          <w:kern w:val="2"/>
          <w:sz w:val="24"/>
          <w:szCs w:val="24"/>
          <w:u w:val="none"/>
          <w:effect w:val="none"/>
          <w:shd w:fill="auto" w:val="clear"/>
          <w:lang w:val="pt-BR" w:eastAsia="pt-BR" w:bidi="zxx"/>
        </w:rPr>
        <w:t>O prazo de garantia dos serviços de manutenção executados, incluindo as peças substituídas, será de 12 (doze) meses, contados a partir do recebimento definitivo dos equipamentos, devidamente testados, validados e em pleno funcionamento nas dependências da Contratante. Durante esse período, a Contratada deverá responsabilizar-se pela correção de eventuais falhas, defeitos ou irregularidades decorrentes da execução dos serviços ou das peças empregadas, sem quaisquer ônus adicionais para a Contratante.</w:t>
      </w:r>
    </w:p>
    <w:p>
      <w:pPr>
        <w:pStyle w:val="Normal"/>
        <w:bidi w:val="0"/>
        <w:spacing w:lineRule="auto" w:line="252" w:before="0" w:after="0"/>
        <w:jc w:val="both"/>
        <w:rPr>
          <w:rStyle w:val="Fontepargpadro"/>
        </w:rPr>
      </w:pPr>
      <w:r>
        <w:rPr/>
      </w:r>
    </w:p>
    <w:p>
      <w:pPr>
        <w:pStyle w:val="Normal"/>
        <w:bidi w:val="0"/>
        <w:spacing w:lineRule="auto" w:line="252" w:before="0" w:after="0"/>
        <w:jc w:val="both"/>
        <w:rPr/>
      </w:pP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auto" w:val="clear"/>
          <w:lang w:val="zxx" w:eastAsia="zxx" w:bidi="zxx"/>
        </w:rPr>
        <w:t>2.15. Após cada intervenção nos instrumentais, a Contratada deverá encaminhar um relatório com a descrição de cada serviço executado.</w:t>
      </w:r>
    </w:p>
    <w:p>
      <w:pPr>
        <w:pStyle w:val="Normal"/>
        <w:bidi w:val="0"/>
        <w:spacing w:lineRule="auto" w:line="252" w:before="0" w:after="0"/>
        <w:jc w:val="both"/>
        <w:rPr>
          <w:rStyle w:val="Fontepargpadro"/>
        </w:rPr>
      </w:pPr>
      <w:r>
        <w:rPr/>
      </w:r>
    </w:p>
    <w:p>
      <w:pPr>
        <w:pStyle w:val="Normal"/>
        <w:bidi w:val="0"/>
        <w:spacing w:lineRule="auto" w:line="252" w:before="0" w:after="0"/>
        <w:jc w:val="both"/>
        <w:rPr/>
      </w:pP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auto" w:val="clear"/>
          <w:lang w:val="zxx" w:eastAsia="zxx" w:bidi="zxx"/>
        </w:rPr>
        <w:t>2.16. É de competência da Contratada, realizar avaliação e relatório técnico de assessoramento à Fundação Saúde acerca da obsolescência e/ou alienação  dos equipamentos médico-hospitalares baseado em inspeção técnico-operacional, histórico de falhas, situação de rastreabilidade etc.</w:t>
      </w:r>
    </w:p>
    <w:p>
      <w:pPr>
        <w:pStyle w:val="Normal"/>
        <w:bidi w:val="0"/>
        <w:spacing w:lineRule="auto" w:line="252" w:before="0" w:after="0"/>
        <w:jc w:val="both"/>
        <w:rPr>
          <w:rStyle w:val="Fontepargpadro"/>
        </w:rPr>
      </w:pPr>
      <w:r>
        <w:rPr/>
      </w:r>
    </w:p>
    <w:p>
      <w:pPr>
        <w:pStyle w:val="Normal"/>
        <w:bidi w:val="0"/>
        <w:spacing w:lineRule="auto" w:line="252" w:before="0" w:after="0"/>
        <w:jc w:val="both"/>
        <w:rPr/>
      </w:pP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auto" w:val="clear"/>
          <w:lang w:val="zxx" w:eastAsia="zxx" w:bidi="zxx"/>
        </w:rPr>
        <w:t>2.17. Será de responsabilidade da empresa contratada o fornecimento de EPI's (Equipamentos de Proteção Individual) aos profissionais que executarão a retirada e entrega dos instrumentais, caso seja necessário.</w:t>
      </w:r>
    </w:p>
    <w:p>
      <w:pPr>
        <w:pStyle w:val="Normal"/>
        <w:bidi w:val="0"/>
        <w:spacing w:lineRule="auto" w:line="252" w:before="0" w:after="0"/>
        <w:jc w:val="both"/>
        <w:rPr>
          <w:rStyle w:val="Fontepargpadro"/>
        </w:rPr>
      </w:pPr>
      <w:r>
        <w:rPr/>
      </w:r>
    </w:p>
    <w:p>
      <w:pPr>
        <w:pStyle w:val="Normal"/>
        <w:bidi w:val="0"/>
        <w:spacing w:lineRule="auto" w:line="252" w:before="0" w:after="0"/>
        <w:jc w:val="both"/>
        <w:rPr>
          <w:rFonts w:ascii="Arial" w:hAnsi="Arial" w:eastAsia="Times New Roman" w:cs="Arial"/>
          <w:b w:val="false"/>
          <w:b w:val="false"/>
          <w:bCs w:val="false"/>
          <w:i w:val="false"/>
          <w:i w:val="false"/>
          <w:iCs w:val="false"/>
          <w:caps w:val="false"/>
          <w:smallCaps w:val="false"/>
          <w:strike w:val="false"/>
          <w:dstrike w:val="false"/>
          <w:color w:val="auto"/>
          <w:kern w:val="2"/>
          <w:sz w:val="24"/>
          <w:szCs w:val="24"/>
          <w:u w:val="none"/>
          <w:shd w:fill="auto" w:val="clear"/>
          <w:lang w:val="zxx" w:eastAsia="zxx" w:bidi="zxx"/>
        </w:rPr>
      </w:pP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auto" w:val="clear"/>
          <w:lang w:val="zxx" w:eastAsia="zxx" w:bidi="zxx"/>
        </w:rPr>
        <w:t>2.18. Assumir corresponsabilidade administrativa, penal, civil e por eventuais danos causados a Contratante ou a terceiros, por ação ou omissão, culpa ou dolo, decorrentes dos serviços prestados.</w:t>
      </w:r>
    </w:p>
    <w:p>
      <w:pPr>
        <w:pStyle w:val="Normal"/>
        <w:bidi w:val="0"/>
        <w:spacing w:lineRule="auto" w:line="252" w:before="0" w:after="0"/>
        <w:jc w:val="both"/>
        <w:rPr>
          <w:rStyle w:val="Fontepargpadro"/>
        </w:rPr>
      </w:pPr>
      <w:r>
        <w:rPr/>
      </w:r>
    </w:p>
    <w:p>
      <w:pPr>
        <w:pStyle w:val="Normal"/>
        <w:bidi w:val="0"/>
        <w:spacing w:lineRule="auto" w:line="252" w:before="0" w:after="0"/>
        <w:jc w:val="both"/>
        <w:rPr/>
      </w:pP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auto" w:val="clear"/>
          <w:lang w:val="zxx" w:eastAsia="zxx" w:bidi="zxx"/>
        </w:rPr>
        <w:t>2.19. Os serviços especificados nesta contratação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FFFFFF" w:val="clear"/>
          <w:lang w:val="zxx" w:eastAsia="pt-BR" w:bidi="zxx"/>
        </w:rPr>
        <w:t>, em hipótese alguma configurarão vínculo empregatício entre as partes.</w:t>
      </w:r>
    </w:p>
    <w:p>
      <w:pPr>
        <w:pStyle w:val="Normal"/>
        <w:spacing w:before="0" w:after="0"/>
        <w:jc w:val="both"/>
        <w:rPr>
          <w:rStyle w:val="Fontepargpadro"/>
        </w:rPr>
      </w:pPr>
      <w:r>
        <w:rPr/>
      </w:r>
    </w:p>
    <w:p>
      <w:pPr>
        <w:pStyle w:val="Normal"/>
        <w:bidi w:val="0"/>
        <w:spacing w:lineRule="auto" w:line="252" w:before="0" w:after="0"/>
        <w:jc w:val="both"/>
        <w:rPr/>
      </w:pP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FFFFFF" w:val="clear"/>
          <w:lang w:val="zxx" w:eastAsia="pt-BR" w:bidi="ar-SA"/>
        </w:rPr>
        <w:t>2.20. Todos e quaisquer avisos e comunicados deverão ser realizados por escrito. Será considerado inexistente quaisquer ajustes celebrados de outro modo.</w:t>
      </w:r>
    </w:p>
    <w:p>
      <w:pPr>
        <w:pStyle w:val="Normal"/>
        <w:bidi w:val="0"/>
        <w:spacing w:lineRule="auto" w:line="252" w:before="0" w:after="0"/>
        <w:jc w:val="both"/>
        <w:rPr>
          <w:rStyle w:val="Fontepargpadro"/>
        </w:rPr>
      </w:pPr>
      <w:r>
        <w:rPr/>
      </w:r>
    </w:p>
    <w:p>
      <w:pPr>
        <w:pStyle w:val="Normal"/>
        <w:bidi w:val="0"/>
        <w:spacing w:lineRule="auto" w:line="252" w:before="0" w:after="0"/>
        <w:jc w:val="both"/>
        <w:rPr/>
      </w:pP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FFFFFF" w:val="clear"/>
          <w:lang w:val="zxx" w:eastAsia="pt-BR" w:bidi="ar-SA"/>
        </w:rPr>
        <w:t>2.21. A Contratada arcará com todas as despesas necessárias a prestação dos serviços como encargos sociais, trabalhistas e fiscais assim como impostos necessários para a prestação dos serviços.</w:t>
      </w:r>
    </w:p>
    <w:p>
      <w:pPr>
        <w:pStyle w:val="Normal"/>
        <w:bidi w:val="0"/>
        <w:spacing w:lineRule="auto" w:line="252" w:before="0" w:after="0"/>
        <w:jc w:val="both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bidi w:val="0"/>
        <w:spacing w:lineRule="auto" w:line="252" w:before="0" w:after="0"/>
        <w:jc w:val="both"/>
        <w:rPr/>
      </w:pP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FFFFFF" w:val="clear"/>
          <w:lang w:val="zxx" w:eastAsia="pt-BR" w:bidi="ar-SA"/>
        </w:rPr>
        <w:t>2.22. Será de responsabilidade da Contratada quaisquer danos ou prejuízos causados á Administração, em decorrência dos serviços prestados.</w:t>
      </w:r>
    </w:p>
    <w:p>
      <w:pPr>
        <w:pStyle w:val="Normal"/>
        <w:bidi w:val="0"/>
        <w:spacing w:lineRule="auto" w:line="252" w:before="0" w:after="0"/>
        <w:jc w:val="both"/>
        <w:rPr>
          <w:sz w:val="21"/>
          <w:szCs w:val="21"/>
        </w:rPr>
      </w:pPr>
      <w:r>
        <w:rPr>
          <w:sz w:val="21"/>
          <w:szCs w:val="21"/>
        </w:rPr>
      </w:r>
    </w:p>
    <w:p>
      <w:pPr>
        <w:pStyle w:val="Normal"/>
        <w:bidi w:val="0"/>
        <w:spacing w:lineRule="auto" w:line="252" w:before="0" w:after="0"/>
        <w:jc w:val="both"/>
        <w:rPr/>
      </w:pP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FFFFFF" w:val="clear"/>
          <w:lang w:val="zxx" w:eastAsia="pt-BR" w:bidi="ar-SA"/>
        </w:rPr>
        <w:t>2.23. A Contratada deverá informar imediatamente, por escrito, ser houver algum problema que possa comprometer a prestação dos serviços.</w:t>
      </w:r>
    </w:p>
    <w:p>
      <w:pPr>
        <w:pStyle w:val="Normal"/>
        <w:bidi w:val="0"/>
        <w:spacing w:lineRule="auto" w:line="252" w:before="0" w:after="0"/>
        <w:jc w:val="both"/>
        <w:rPr>
          <w:rStyle w:val="Fontepargpadro"/>
        </w:rPr>
      </w:pPr>
      <w:r>
        <w:rPr/>
      </w:r>
    </w:p>
    <w:p>
      <w:pPr>
        <w:pStyle w:val="Normal"/>
        <w:spacing w:before="0" w:after="0"/>
        <w:jc w:val="both"/>
        <w:rPr/>
      </w:pP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FFFFFF" w:val="clear"/>
          <w:lang w:val="zxx" w:eastAsia="pt-BR" w:bidi="ar-SA"/>
        </w:rPr>
        <w:t xml:space="preserve">2.24. 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FFFFFF" w:val="clear"/>
          <w:lang w:val="zxx" w:eastAsia="zxx" w:bidi="zxx"/>
        </w:rPr>
        <w:t>Considerando-se a importância da contratação, as proponentes deverão demonstrar a execução satisfatória do fornecimento por meio de atestados de capacidade técnica como forma de garantir e/ou mitigar os riscos para a Administração.</w:t>
      </w:r>
    </w:p>
    <w:p>
      <w:pPr>
        <w:pStyle w:val="Normal"/>
        <w:spacing w:before="0" w:after="0"/>
        <w:jc w:val="both"/>
        <w:rPr>
          <w:rStyle w:val="Fontepargpadro"/>
          <w:rFonts w:ascii="arial" w:hAnsi="arial" w:eastAsia="Times New Roman" w:cs="Arial"/>
          <w:b w:val="false"/>
          <w:b w:val="false"/>
          <w:bCs/>
          <w:i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auto" w:val="clear"/>
          <w:lang w:val="zxx" w:eastAsia="zxx" w:bidi="ar-SA"/>
        </w:rPr>
      </w:pPr>
      <w:r>
        <w:rPr>
          <w:rFonts w:eastAsia="Times New Roman" w:cs="Arial" w:ascii="arial" w:hAnsi="arial"/>
          <w:b w:val="false"/>
          <w:bCs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auto" w:val="clear"/>
          <w:lang w:val="zxx" w:eastAsia="zxx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/>
          <w:bCs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3. ADEQUAÇÃO ORÇAMENTÁRIA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eastAsia="Calibri"/>
          <w:i w:val="false"/>
          <w:i w:val="false"/>
          <w:iCs w:val="false"/>
          <w:lang w:val="pt-BR" w:eastAsia="zh-CN" w:bidi="ar-SA"/>
        </w:rPr>
      </w:pPr>
      <w:r>
        <w:rPr>
          <w:rFonts w:eastAsia="Calibri"/>
          <w:i w:val="false"/>
          <w:iCs w:val="fals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3.1. As despesas decorrentes da presente contratação correrão à conta de recursos específicos consignados na Lei Orçamentária Anual.</w:t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Calibri" w:cs="arial"/>
          <w:i w:val="false"/>
          <w:i w:val="false"/>
          <w:iCs w:val="false"/>
          <w:color w:val="000000"/>
          <w:sz w:val="24"/>
          <w:szCs w:val="24"/>
          <w:lang w:val="pt-BR" w:eastAsia="zh-CN" w:bidi="ar-SA"/>
        </w:rPr>
      </w:pPr>
      <w:r>
        <w:rPr>
          <w:rFonts w:eastAsia="Calibri" w:cs="arial" w:ascii="Arial" w:hAnsi="Arial"/>
          <w:i w:val="false"/>
          <w:iCs w:val="false"/>
          <w:color w:val="000000"/>
          <w:sz w:val="24"/>
          <w:szCs w:val="24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left"/>
        <w:rPr/>
      </w:pPr>
      <w:r>
        <w:rPr>
          <w:rStyle w:val="Fontepargpadro"/>
          <w:rFonts w:eastAsia="Calibri" w:cs="arial" w:ascii="Arial" w:hAnsi="Arial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3.2. A contratação será atendida pela seguinte dotação:</w:t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rStyle w:val="Fontepargpadro"/>
          <w:sz w:val="12"/>
          <w:szCs w:val="12"/>
        </w:rPr>
      </w:pPr>
      <w:r>
        <w:rPr>
          <w:sz w:val="12"/>
          <w:szCs w:val="12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/>
      </w:pPr>
      <w:r>
        <w:rPr>
          <w:rStyle w:val="Fontepargpadro"/>
          <w:rFonts w:eastAsia="Calibri" w:cs="arial" w:ascii="Arial" w:hAnsi="Arial"/>
          <w:b/>
          <w:i w:val="false"/>
          <w:iCs w:val="false"/>
          <w:color w:val="FF3333"/>
          <w:sz w:val="24"/>
          <w:szCs w:val="24"/>
          <w:shd w:fill="FFFFFF" w:val="clear"/>
          <w:lang w:val="pt-BR" w:eastAsia="zh-CN" w:bidi="ar-SA"/>
        </w:rPr>
        <w:t>Informar a dotação orçamentária disponível para a aquisição</w:t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rStyle w:val="Fontepargpadro"/>
          <w:rFonts w:ascii="Arial" w:hAnsi="Arial" w:eastAsia="Calibri" w:cs="arial"/>
          <w:b/>
          <w:b/>
          <w:i w:val="false"/>
          <w:i w:val="false"/>
          <w:iCs w:val="false"/>
          <w:color w:val="000000"/>
          <w:sz w:val="12"/>
          <w:szCs w:val="12"/>
          <w:highlight w:val="white"/>
          <w:lang w:val="pt-BR" w:eastAsia="zh-CN" w:bidi="ar-SA"/>
        </w:rPr>
      </w:pPr>
      <w:r>
        <w:rPr>
          <w:rFonts w:eastAsia="Calibri" w:cs="arial" w:ascii="Arial" w:hAnsi="Arial"/>
          <w:b/>
          <w:i w:val="false"/>
          <w:iCs w:val="false"/>
          <w:color w:val="000000"/>
          <w:sz w:val="12"/>
          <w:szCs w:val="12"/>
          <w:highlight w:val="whit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3.3. Eventual dotação relativa aos exercícios financeiros subsequentes será indicada após aprovação da Lei Orçamentária respectiva e liberação dos créditos correspondentes.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Calibri" w:cs="arial"/>
          <w:i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pPr>
      <w:r>
        <w:rPr>
          <w:rFonts w:eastAsia="Calibri" w:cs="arial" w:ascii="Arial" w:hAnsi="Arial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ab/>
      </w:r>
      <w:r>
        <w:rPr>
          <w:rStyle w:val="Fontepargpadro"/>
          <w:rFonts w:eastAsia="Calibri" w:cs="arial" w:ascii="Arial" w:hAnsi="Arial"/>
          <w:b/>
          <w:bCs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Obs.:</w:t>
      </w:r>
      <w:r>
        <w:rPr>
          <w:rStyle w:val="Fontepargpadro"/>
          <w:rFonts w:eastAsia="Calibri" w:cs="arial" w:ascii="Arial" w:hAnsi="Arial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 xml:space="preserve"> Deverá ser encaminhado o Documento de Disponibilidade Orçamentária devidamente assinado.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/>
          <w:bCs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4. GESTÃO E FISCALIZAÇÃO CONTRATUAL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Calibri" w:cs="arial"/>
          <w:b/>
          <w:b/>
          <w:bCs/>
          <w:i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pPr>
      <w:r>
        <w:rPr>
          <w:rFonts w:eastAsia="Calibri" w:cs="arial" w:ascii="Arial" w:hAnsi="Arial"/>
          <w:b/>
          <w:bCs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4.1. A gestão da contratação será efetuada pelo(a) Sr(a) …. , bem como a fiscalização técnica será realizada pelo(a) Sr(a). …., nomeados pela Portaria nº …/202 .</w:t>
      </w: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FF0000"/>
          <w:sz w:val="24"/>
          <w:szCs w:val="24"/>
          <w:shd w:fill="FFFFFF" w:val="clear"/>
          <w:lang w:val="pt-BR" w:eastAsia="zh-CN" w:bidi="ar-SA"/>
        </w:rPr>
        <w:t xml:space="preserve"> (informar os nomes e portaria de nomeação).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Calibri" w:cs="arial"/>
          <w:i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pPr>
      <w:r>
        <w:rPr>
          <w:rFonts w:eastAsia="Calibri" w:cs="arial" w:ascii="Arial" w:hAnsi="Arial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/>
          <w:bCs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5. CONDIÇÕES DE PAGAMENTO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Calibri" w:cs="arial"/>
          <w:b/>
          <w:b/>
          <w:bCs/>
          <w:i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pPr>
      <w:r>
        <w:rPr>
          <w:rFonts w:eastAsia="Calibri" w:cs="arial" w:ascii="Arial" w:hAnsi="Arial"/>
          <w:b/>
          <w:bCs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 xml:space="preserve">5.1. Os pagamentos serão efetuados conforme … </w:t>
      </w: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FF3333"/>
          <w:sz w:val="24"/>
          <w:szCs w:val="24"/>
          <w:shd w:fill="FFFFFF" w:val="clear"/>
          <w:lang w:val="pt-BR" w:eastAsia="zh-CN" w:bidi="ar-SA"/>
        </w:rPr>
        <w:t>(inserir condições de pagamento do Órgão).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Calibri" w:cs="arial"/>
          <w:b w:val="false"/>
          <w:b w:val="false"/>
          <w:bCs w:val="false"/>
          <w:i w:val="false"/>
          <w:i w:val="false"/>
          <w:iCs w:val="false"/>
          <w:color w:val="FF3333"/>
          <w:sz w:val="24"/>
          <w:szCs w:val="24"/>
          <w:highlight w:val="white"/>
          <w:lang w:val="pt-BR" w:eastAsia="zh-CN" w:bidi="ar-SA"/>
        </w:rPr>
      </w:pPr>
      <w:r>
        <w:rPr>
          <w:rFonts w:eastAsia="Calibri" w:cs="arial" w:ascii="Arial" w:hAnsi="Arial"/>
          <w:b w:val="false"/>
          <w:bCs w:val="false"/>
          <w:i w:val="false"/>
          <w:iCs w:val="false"/>
          <w:color w:val="FF3333"/>
          <w:sz w:val="24"/>
          <w:szCs w:val="24"/>
          <w:highlight w:val="whit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5.2. Será considerada data do pagamento o dia em que constar depósito bancário para pagamento.</w:t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>
          <w:rFonts w:ascii="Arial" w:hAnsi="Arial"/>
          <w:color w:val="000000"/>
          <w:sz w:val="24"/>
          <w:szCs w:val="24"/>
        </w:rPr>
      </w:pPr>
      <w:r>
        <w:rPr>
          <w:rFonts w:ascii="Arial" w:hAnsi="Arial"/>
          <w:color w:val="000000"/>
          <w:sz w:val="24"/>
          <w:szCs w:val="24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5.3. O pagamento será efetuado com as devidas retenções tributárias previstas em legislação vigente.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/>
          <w:bCs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6.  DISPOSIÇÕES FINAIS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sz w:val="14"/>
          <w:szCs w:val="14"/>
        </w:rPr>
      </w:pPr>
      <w:r>
        <w:rPr>
          <w:sz w:val="14"/>
          <w:szCs w:val="14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6.1. O presente Órgão declara estar ciente e de acordo com as condições estabelecidas pela Fundação Hospitalar do Município de Varginha, no que tange a escolha da solução para a presente contratação, as condições elencadas no Termo de Referência e demais documentos relacionados à presente Intenção de Registro de Preços.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eastAsia="Calibri"/>
          <w:b w:val="false"/>
          <w:b w:val="false"/>
          <w:bCs w:val="false"/>
          <w:i w:val="false"/>
          <w:i w:val="false"/>
          <w:iCs w:val="false"/>
          <w:lang w:val="pt-BR" w:eastAsia="zh-CN" w:bidi="ar-SA"/>
        </w:rPr>
      </w:pPr>
      <w:r>
        <w:rPr>
          <w:rFonts w:eastAsia="Calibri"/>
          <w:b w:val="false"/>
          <w:bCs w:val="false"/>
          <w:i w:val="false"/>
          <w:iCs w:val="fals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 xml:space="preserve">6.2. O Órgão declara estar ciente das responsabilidades do ente participante, elencadas na Lei nº 14.133/21, </w:t>
      </w:r>
      <w:bookmarkStart w:id="0" w:name="__DdeLink__49230_2999242570"/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Decreto Municipal nº 11.595/23</w:t>
      </w:r>
      <w:bookmarkEnd w:id="0"/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 xml:space="preserve"> e Decreto Municipal nº 11.598/23.</w:t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rStyle w:val="Fontepargpadro"/>
          <w:rFonts w:ascii="Arial" w:hAnsi="Arial" w:eastAsia="Calibri" w:cs="arial"/>
          <w:b w:val="false"/>
          <w:b w:val="false"/>
          <w:bCs w:val="false"/>
          <w:i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pPr>
      <w:r>
        <w:rPr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rStyle w:val="Fontepargpadro"/>
          <w:rFonts w:ascii="Arial" w:hAnsi="Arial" w:eastAsia="Calibri" w:cs="arial"/>
          <w:b w:val="false"/>
          <w:b w:val="false"/>
          <w:bCs w:val="false"/>
          <w:i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pPr>
      <w:r>
        <w:rPr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rStyle w:val="Fontepargpadro"/>
          <w:rFonts w:ascii="Arial" w:hAnsi="Arial" w:eastAsia="Calibri" w:cs="arial"/>
          <w:b w:val="false"/>
          <w:b w:val="false"/>
          <w:bCs w:val="false"/>
          <w:i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pPr>
      <w:r>
        <w:rPr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 xml:space="preserve">Varginha, </w:t>
      </w: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FF3333"/>
          <w:sz w:val="24"/>
          <w:szCs w:val="24"/>
          <w:shd w:fill="FFFFFF" w:val="clear"/>
          <w:lang w:val="pt-BR" w:eastAsia="zh-CN" w:bidi="ar-SA"/>
        </w:rPr>
        <w:t>xx</w:t>
      </w: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 xml:space="preserve"> de </w:t>
      </w: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FF3333"/>
          <w:kern w:val="0"/>
          <w:sz w:val="24"/>
          <w:szCs w:val="24"/>
          <w:shd w:fill="FFFFFF" w:val="clear"/>
          <w:lang w:val="pt-BR" w:eastAsia="zh-CN" w:bidi="ar-SA"/>
        </w:rPr>
        <w:t>xxxxx</w:t>
      </w: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 xml:space="preserve"> de 2026</w:t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Nome e assinatura do responsável</w:t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  <w:t>Cargo</w:t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 xml:space="preserve">Órgão </w:t>
      </w:r>
    </w:p>
    <w:sectPr>
      <w:headerReference w:type="default" r:id="rId2"/>
      <w:footerReference w:type="default" r:id="rId3"/>
      <w:type w:val="nextPage"/>
      <w:pgSz w:w="11906" w:h="16838"/>
      <w:pgMar w:left="1701" w:right="1134" w:gutter="0" w:header="0" w:top="1531" w:footer="283" w:bottom="1373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ahoma">
    <w:charset w:val="01"/>
    <w:family w:val="roman"/>
    <w:pitch w:val="variable"/>
  </w:font>
  <w:font w:name="DejaVu Sans Mono">
    <w:altName w:val="Yu Gothic"/>
    <w:charset w:val="01"/>
    <w:family w:val="roman"/>
    <w:pitch w:val="variable"/>
  </w:font>
  <w:font w:name="Arial">
    <w:charset w:val="01"/>
    <w:family w:val="roman"/>
    <w:pitch w:val="variable"/>
  </w:font>
  <w:font w:name="OpenSymbol">
    <w:altName w:val="Arial Unicode MS"/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arial">
    <w:charset w:val="01"/>
    <w:family w:val="roman"/>
    <w:pitch w:val="variable"/>
  </w:font>
  <w:font w:name="ARIAL"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Rodap"/>
      <w:jc w:val="center"/>
      <w:rPr>
        <w:rFonts w:ascii="Arial" w:hAnsi="Arial"/>
      </w:rPr>
    </w:pPr>
    <w:r>
      <w:rPr>
        <w:rFonts w:ascii="Arial" w:hAnsi="Arial"/>
      </w:rPr>
      <w:t>_______________________________________________________________________</w:t>
    </w:r>
  </w:p>
  <w:p>
    <w:pPr>
      <w:pStyle w:val="Rodap"/>
      <w:jc w:val="center"/>
      <w:rPr>
        <w:rFonts w:ascii="Arial" w:hAnsi="Arial"/>
      </w:rPr>
    </w:pPr>
    <w:r>
      <w:rPr>
        <w:rFonts w:ascii="Arial" w:hAnsi="Arial"/>
      </w:rPr>
      <w:t>Rua Presidente Tancredo Neves, 500 – Bom Pastor – Varginha MG – 37.014-460</w:t>
    </w:r>
  </w:p>
  <w:p>
    <w:pPr>
      <w:pStyle w:val="Rodap"/>
      <w:jc w:val="center"/>
      <w:rPr>
        <w:rFonts w:ascii="Arial" w:hAnsi="Arial"/>
      </w:rPr>
    </w:pPr>
    <w:r>
      <w:rPr>
        <w:rFonts w:ascii="Arial" w:hAnsi="Arial"/>
      </w:rPr>
      <w:t>CNPJ 19.110.162/0001-00 – Inscrição Estadual Isento – 35 3606.3591/3592/3593/3594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abealho"/>
      <w:tabs>
        <w:tab w:val="left" w:pos="2031" w:leader="none"/>
        <w:tab w:val="center" w:pos="4252" w:leader="none"/>
        <w:tab w:val="right" w:pos="8504" w:leader="none"/>
      </w:tabs>
      <w:ind w:left="0" w:right="0" w:hanging="1134"/>
      <w:rPr/>
    </w:pPr>
    <w:r>
      <w:rPr/>
      <w:drawing>
        <wp:inline distT="0" distB="0" distL="0" distR="0">
          <wp:extent cx="7229475" cy="1365250"/>
          <wp:effectExtent l="0" t="0" r="0" b="0"/>
          <wp:docPr id="1" name="Figura2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igura2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-347" t="-1763" r="-347" b="-1763"/>
                  <a:stretch>
                    <a:fillRect/>
                  </a:stretch>
                </pic:blipFill>
                <pic:spPr bwMode="auto">
                  <a:xfrm>
                    <a:off x="0" y="0"/>
                    <a:ext cx="7229475" cy="13652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  <w:drawing>
        <wp:anchor behindDoc="1" distT="0" distB="0" distL="0" distR="0" simplePos="0" locked="0" layoutInCell="0" allowOverlap="1" relativeHeight="5">
          <wp:simplePos x="0" y="0"/>
          <wp:positionH relativeFrom="column">
            <wp:align>center</wp:align>
          </wp:positionH>
          <wp:positionV relativeFrom="margin">
            <wp:align>center</wp:align>
          </wp:positionV>
          <wp:extent cx="3201670" cy="3201670"/>
          <wp:effectExtent l="0" t="0" r="0" b="0"/>
          <wp:wrapNone/>
          <wp:docPr id="2" name="Figura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igura1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 l="-779" t="-779" r="-779" b="-779"/>
                  <a:stretch>
                    <a:fillRect/>
                  </a:stretch>
                </pic:blipFill>
                <pic:spPr bwMode="auto">
                  <a:xfrm>
                    <a:off x="0" y="0"/>
                    <a:ext cx="3201670" cy="32016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w="http://schemas.openxmlformats.org/wordprocessingml/2006/main">
  <w:zoom w:percent="100"/>
  <w:defaultTabStop w:val="4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DejaVu Sans" w:cs="FreeSans"/>
        <w:sz w:val="24"/>
        <w:szCs w:val="24"/>
        <w:lang w:val="pt-BR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lineRule="auto" w:line="252" w:before="0" w:after="160"/>
      <w:jc w:val="left"/>
    </w:pPr>
    <w:rPr>
      <w:rFonts w:ascii="Calibri" w:hAnsi="Calibri" w:eastAsia="Calibri" w:cs=";Calibri"/>
      <w:color w:val="00000A"/>
      <w:kern w:val="0"/>
      <w:sz w:val="22"/>
      <w:szCs w:val="22"/>
      <w:lang w:val="pt-BR" w:eastAsia="zh-CN" w:bidi="ar-SA"/>
    </w:rPr>
  </w:style>
  <w:style w:type="paragraph" w:styleId="Ttulo6">
    <w:name w:val="Heading 6"/>
    <w:basedOn w:val="Normal"/>
    <w:next w:val="Normal"/>
    <w:qFormat/>
    <w:pPr>
      <w:keepNext w:val="true"/>
      <w:ind w:left="0" w:right="0" w:hanging="0"/>
      <w:jc w:val="center"/>
      <w:outlineLvl w:val="5"/>
    </w:pPr>
    <w:rPr>
      <w:b/>
      <w:sz w:val="24"/>
    </w:rPr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Fontepargpadro">
    <w:name w:val="Fonte parág. padrão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DefaultParagraphFont">
    <w:name w:val="Default Paragraph Font"/>
    <w:qFormat/>
    <w:rPr/>
  </w:style>
  <w:style w:type="character" w:styleId="CabealhoChar">
    <w:name w:val="Cabeçalho Char"/>
    <w:basedOn w:val="DefaultParagraphFont"/>
    <w:qFormat/>
    <w:rPr/>
  </w:style>
  <w:style w:type="character" w:styleId="RodapChar">
    <w:name w:val="Rodapé Char"/>
    <w:basedOn w:val="DefaultParagraphFont"/>
    <w:qFormat/>
    <w:rPr/>
  </w:style>
  <w:style w:type="character" w:styleId="TextodebaloChar">
    <w:name w:val="Texto de balão Char"/>
    <w:qFormat/>
    <w:rPr>
      <w:rFonts w:ascii="Tahoma" w:hAnsi="Tahoma" w:cs="Tahoma"/>
      <w:sz w:val="16"/>
      <w:szCs w:val="16"/>
    </w:rPr>
  </w:style>
  <w:style w:type="character" w:styleId="WWFontepargpadro1111">
    <w:name w:val="WW-Fonte parág. padrão1111"/>
    <w:qFormat/>
    <w:rPr/>
  </w:style>
  <w:style w:type="character" w:styleId="LinkdaInternet">
    <w:name w:val="Hyperlink"/>
    <w:basedOn w:val="WWFontepargpadro1111"/>
    <w:rPr>
      <w:color w:val="0000FF"/>
      <w:u w:val="single"/>
    </w:rPr>
  </w:style>
  <w:style w:type="character" w:styleId="Teletipo">
    <w:name w:val="Teletipo"/>
    <w:qFormat/>
    <w:rPr>
      <w:rFonts w:ascii="DejaVu Sans Mono;Yu Gothic" w:hAnsi="DejaVu Sans Mono;Yu Gothic" w:eastAsia="DejaVu Sans Mono;Yu Gothic" w:cs="DejaVu Sans Mono;Yu Gothic"/>
    </w:rPr>
  </w:style>
  <w:style w:type="character" w:styleId="WW8Num5z0">
    <w:name w:val="WW8Num5z0"/>
    <w:qFormat/>
    <w:rPr>
      <w:rFonts w:ascii="Arial" w:hAnsi="Arial" w:cs="Arial"/>
    </w:rPr>
  </w:style>
  <w:style w:type="character" w:styleId="WW8Num6z0">
    <w:name w:val="WW8Num6z0"/>
    <w:qFormat/>
    <w:rPr>
      <w:rFonts w:ascii="Arial" w:hAnsi="Arial" w:cs="Arial"/>
      <w:b w:val="false"/>
      <w:bCs w:val="false"/>
      <w:i w:val="false"/>
      <w:iCs w:val="false"/>
      <w:sz w:val="24"/>
      <w:szCs w:val="24"/>
    </w:rPr>
  </w:style>
  <w:style w:type="character" w:styleId="Strong">
    <w:name w:val="Strong"/>
    <w:qFormat/>
    <w:rPr>
      <w:b/>
      <w:bCs/>
    </w:rPr>
  </w:style>
  <w:style w:type="character" w:styleId="Marcadores">
    <w:name w:val="Marcadores"/>
    <w:qFormat/>
    <w:rPr>
      <w:rFonts w:ascii="OpenSymbol" w:hAnsi="OpenSymbol" w:eastAsia="OpenSymbol" w:cs="OpenSymbol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;Arial" w:hAnsi="Liberation Sans;Arial" w:eastAsia="DejaVu Sans" w:cs="DejaVu Sans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FreeSans;Calibri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FreeSans;Calibri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FreeSans;Calibri"/>
    </w:rPr>
  </w:style>
  <w:style w:type="paragraph" w:styleId="Ttulo1">
    <w:name w:val="Título1"/>
    <w:basedOn w:val="Normal"/>
    <w:qFormat/>
    <w:pPr>
      <w:keepNext w:val="true"/>
      <w:spacing w:before="240" w:after="120"/>
    </w:pPr>
    <w:rPr>
      <w:rFonts w:ascii="Liberation Sans;Arial" w:hAnsi="Liberation Sans;Arial" w:eastAsia="DejaVu Sans" w:cs="FreeSans;Calibri"/>
      <w:sz w:val="28"/>
      <w:szCs w:val="28"/>
    </w:rPr>
  </w:style>
  <w:style w:type="paragraph" w:styleId="CabealhoeRodap">
    <w:name w:val="Cabeçalho e Rodapé"/>
    <w:basedOn w:val="Normal"/>
    <w:qFormat/>
    <w:pPr/>
    <w:rPr/>
  </w:style>
  <w:style w:type="paragraph" w:styleId="Cabealho">
    <w:name w:val="Header"/>
    <w:basedOn w:val="Normal"/>
    <w:pPr>
      <w:tabs>
        <w:tab w:val="clear" w:pos="408"/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Rodap">
    <w:name w:val="Footer"/>
    <w:basedOn w:val="Normal"/>
    <w:pPr>
      <w:tabs>
        <w:tab w:val="clear" w:pos="408"/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Contedodatabela">
    <w:name w:val="Conteúdo da tabela"/>
    <w:basedOn w:val="Normal"/>
    <w:qFormat/>
    <w:pPr>
      <w:suppressLineNumbers/>
    </w:pPr>
    <w:rPr/>
  </w:style>
  <w:style w:type="paragraph" w:styleId="Ttulodetabela">
    <w:name w:val="Título de tabela"/>
    <w:basedOn w:val="Contedodatabela"/>
    <w:qFormat/>
    <w:pPr>
      <w:suppressLineNumbers/>
      <w:jc w:val="center"/>
    </w:pPr>
    <w:rPr>
      <w:b/>
      <w:bCs/>
    </w:rPr>
  </w:style>
  <w:style w:type="paragraph" w:styleId="ListParagraph">
    <w:name w:val="List Paragraph"/>
    <w:basedOn w:val="Normal"/>
    <w:qFormat/>
    <w:pPr>
      <w:suppressAutoHyphens w:val="true"/>
      <w:ind w:left="720" w:right="0" w:hanging="0"/>
    </w:pPr>
    <w:rPr/>
  </w:style>
  <w:style w:type="paragraph" w:styleId="LONormal">
    <w:name w:val="LO-Normal"/>
    <w:qFormat/>
    <w:pPr>
      <w:widowControl w:val="false"/>
      <w:suppressAutoHyphens w:val="true"/>
      <w:bidi w:val="0"/>
      <w:spacing w:before="0" w:after="0"/>
      <w:jc w:val="left"/>
    </w:pPr>
    <w:rPr>
      <w:rFonts w:ascii="Calibri" w:hAnsi="Calibri" w:eastAsia="Calibri" w:cs="DejaVu Sans"/>
      <w:color w:val="auto"/>
      <w:kern w:val="0"/>
      <w:sz w:val="20"/>
      <w:szCs w:val="22"/>
      <w:lang w:val="pt-BR" w:eastAsia="en-US" w:bidi="ar-SA"/>
    </w:rPr>
  </w:style>
  <w:style w:type="paragraph" w:styleId="PargrafodaLista">
    <w:name w:val="Parágrafo da Lista"/>
    <w:basedOn w:val="Normal"/>
    <w:qFormat/>
    <w:pPr>
      <w:suppressAutoHyphens w:val="true"/>
      <w:ind w:left="720" w:right="0" w:hanging="0"/>
    </w:pPr>
    <w:rPr/>
  </w:style>
  <w:style w:type="numbering" w:styleId="WW8Num1">
    <w:name w:val="WW8Num1"/>
    <w:qFormat/>
  </w:style>
  <w:style w:type="numbering" w:styleId="WW8Num5">
    <w:name w:val="WW8Num5"/>
    <w:qFormat/>
  </w:style>
  <w:style w:type="numbering" w:styleId="WW8Num6">
    <w:name w:val="WW8Num6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2949</TotalTime>
  <Application>LibreOffice/7.4.7.2$Linux_X86_64 LibreOffice_project/40$Build-2</Application>
  <AppVersion>15.0000</AppVersion>
  <Pages>4</Pages>
  <Words>1013</Words>
  <Characters>6219</Characters>
  <CharactersWithSpaces>7179</CharactersWithSpaces>
  <Paragraphs>62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2021-11-09T13:22:00Z</dcterms:created>
  <dc:creator>Odillon</dc:creator>
  <dc:description/>
  <dc:language>pt-BR</dc:language>
  <cp:lastModifiedBy/>
  <cp:lastPrinted>1995-11-21T17:41:00Z</cp:lastPrinted>
  <dcterms:modified xsi:type="dcterms:W3CDTF">2026-06-17T07:13:11Z</dcterms:modified>
  <cp:revision>643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