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b/>
          <w:b/>
          <w:bCs/>
          <w:color w:val="00000A"/>
          <w:sz w:val="24"/>
          <w:szCs w:val="24"/>
          <w:u w:val="single"/>
          <w:lang w:val="pt-BR" w:eastAsia="zxx" w:bidi="ar-SA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  <w:t>INTENÇÃO DE REGISTRO DE PREÇOS Nº 008/2026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eastAsia="Calibri" w:cs="Calibri"/>
          <w:color w:val="00000A"/>
          <w:sz w:val="16"/>
          <w:szCs w:val="20"/>
          <w:lang w:val="pt-BR" w:eastAsia="zxx" w:bidi="ar-SA"/>
        </w:rPr>
      </w:pPr>
      <w:r>
        <w:rPr>
          <w:rFonts w:eastAsia="Calibri" w:cs="Calibri"/>
          <w:color w:val="00000A"/>
          <w:sz w:val="16"/>
          <w:szCs w:val="20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u w:val="none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none"/>
          <w:lang w:val="pt-BR" w:eastAsia="zxx" w:bidi="ar-SA"/>
        </w:rPr>
        <w:t>SOLICITAÇÃO DE PARTICIPAÇÃO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color w:val="00000A"/>
          <w:sz w:val="24"/>
          <w:szCs w:val="24"/>
          <w:lang w:val="pt-BR" w:eastAsia="zxx" w:bidi="ar-SA"/>
        </w:rPr>
      </w:pPr>
      <w:r>
        <w:rPr>
          <w:rFonts w:eastAsia="Times New Roman" w:cs="arial" w:ascii="arial" w:hAnsi="arial"/>
          <w:color w:val="00000A"/>
          <w:sz w:val="24"/>
          <w:szCs w:val="24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b/>
          <w:b/>
          <w:bCs/>
          <w:color w:val="000000"/>
          <w:sz w:val="24"/>
          <w:szCs w:val="24"/>
          <w:lang w:eastAsia="ar-SA"/>
        </w:rPr>
      </w:pPr>
      <w:r>
        <w:rPr>
          <w:rFonts w:eastAsia="Times New Roman" w:cs="Arial" w:ascii="Arial" w:hAnsi="Arial"/>
          <w:b/>
          <w:bCs/>
          <w:color w:val="000000"/>
          <w:sz w:val="24"/>
          <w:szCs w:val="24"/>
          <w:lang w:eastAsia="ar-SA"/>
        </w:rPr>
        <w:t>1. OBJETO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eastAsia="Times New Roman" w:cs="Arial"/>
          <w:color w:val="000000"/>
          <w:sz w:val="24"/>
          <w:szCs w:val="24"/>
          <w:lang w:eastAsia="ar-SA"/>
        </w:rPr>
      </w:pPr>
      <w:r>
        <w:rPr>
          <w:rFonts w:eastAsia="Times New Roman" w:cs="Arial"/>
          <w:color w:val="000000"/>
          <w:sz w:val="24"/>
          <w:szCs w:val="24"/>
          <w:lang w:eastAsia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Times New Roman" w:cs="Arial" w:ascii="Arial" w:hAnsi="Arial"/>
          <w:color w:val="000000"/>
          <w:sz w:val="24"/>
          <w:szCs w:val="24"/>
          <w:lang w:val="pt-BR" w:eastAsia="ar-SA" w:bidi="ar-SA"/>
        </w:rPr>
        <w:t xml:space="preserve">1.1. Constitui objeto deste instrumento a </w:t>
      </w:r>
      <w:r>
        <w:rPr>
          <w:rStyle w:val="Fontepargpadro"/>
          <w:rFonts w:eastAsia="Times New Roman" w:cs="Arial" w:ascii="ARIAL" w:hAnsi="ARIAL"/>
          <w:b/>
          <w:bCs/>
          <w:color w:val="000000"/>
          <w:sz w:val="24"/>
          <w:szCs w:val="24"/>
          <w:shd w:fill="FFFFFF" w:val="clear"/>
          <w:lang w:val="pt-BR" w:eastAsia="ar-SA" w:bidi="ar-SA"/>
        </w:rPr>
        <w:t>CONTRATAÇÃO DE SERVIÇOS MÉDICOS ESPECIALIZADOS PARA A REALIZAÇÃO DE PERÍCIAS MÉDICAS AOS SERVIDORES DA FUNDAÇÃO HOSPITALAR DO MUNICÍPIO DE VARGINHA</w:t>
      </w:r>
      <w:r>
        <w:rPr>
          <w:rFonts w:eastAsia="Times New Roman" w:cs="Arial" w:ascii="Arial" w:hAnsi="Arial"/>
          <w:b w:val="false"/>
          <w:bCs w:val="false"/>
          <w:color w:val="000000"/>
          <w:sz w:val="24"/>
          <w:szCs w:val="24"/>
          <w:highlight w:val="white"/>
          <w:lang w:val="pt-BR" w:eastAsia="ar-SA" w:bidi="ar-SA"/>
        </w:rPr>
        <w:t>, via Sistema de Registro de Preços,</w:t>
      </w: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 xml:space="preserve"> para atendimento aos Órgãos da Administração Direta e Indireta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color w:val="000000"/>
          <w:sz w:val="24"/>
          <w:szCs w:val="24"/>
          <w:lang w:val="pt-BR" w:eastAsia="ar-SA" w:bidi="ar-SA"/>
        </w:rPr>
      </w:pP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>1.2. Estim</w:t>
      </w:r>
      <w:r>
        <w:rPr>
          <w:rFonts w:eastAsia="Times New Roman" w:cs="Arial" w:ascii="Arial" w:hAnsi="Arial"/>
          <w:color w:val="000000"/>
          <w:sz w:val="24"/>
          <w:szCs w:val="24"/>
          <w:shd w:fill="auto" w:val="clear"/>
          <w:lang w:val="pt-BR" w:eastAsia="ar-SA" w:bidi="ar-SA"/>
        </w:rPr>
        <w:t>a-se a aquisição dos seguintes itens e respectivas quantidades: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tbl>
      <w:tblPr>
        <w:tblW w:w="9240" w:type="dxa"/>
        <w:jc w:val="left"/>
        <w:tblInd w:w="-22" w:type="dxa"/>
        <w:tblLayout w:type="fixed"/>
        <w:tblCellMar>
          <w:top w:w="0" w:type="dxa"/>
          <w:left w:w="2" w:type="dxa"/>
          <w:bottom w:w="0" w:type="dxa"/>
          <w:right w:w="57" w:type="dxa"/>
        </w:tblCellMar>
      </w:tblPr>
      <w:tblGrid>
        <w:gridCol w:w="667"/>
        <w:gridCol w:w="4010"/>
        <w:gridCol w:w="1679"/>
        <w:gridCol w:w="1459"/>
        <w:gridCol w:w="1425"/>
      </w:tblGrid>
      <w:tr>
        <w:trPr/>
        <w:tc>
          <w:tcPr>
            <w:tcW w:w="6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Item</w:t>
            </w:r>
            <w:r>
              <w:rPr>
                <w:rFonts w:eastAsia="Times New Roman" w:cs="Arial" w:ascii="Arial" w:hAnsi="Arial"/>
                <w:b/>
                <w:bCs/>
                <w:color w:val="FF3333"/>
                <w:sz w:val="22"/>
                <w:szCs w:val="22"/>
              </w:rPr>
              <w:t>*</w:t>
            </w:r>
          </w:p>
        </w:tc>
        <w:tc>
          <w:tcPr>
            <w:tcW w:w="40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Especificação</w:t>
            </w:r>
          </w:p>
        </w:tc>
        <w:tc>
          <w:tcPr>
            <w:tcW w:w="16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Quantidade para 12 meses</w:t>
            </w:r>
          </w:p>
        </w:tc>
        <w:tc>
          <w:tcPr>
            <w:tcW w:w="14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unit.</w:t>
            </w:r>
            <w:r>
              <w:rPr>
                <w:rFonts w:ascii="Arial" w:hAnsi="Arial"/>
                <w:b/>
                <w:bCs/>
                <w:color w:val="FF3333"/>
                <w:sz w:val="22"/>
                <w:szCs w:val="22"/>
              </w:rPr>
              <w:t>**</w:t>
            </w:r>
          </w:p>
        </w:tc>
        <w:tc>
          <w:tcPr>
            <w:tcW w:w="14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Total</w:t>
            </w:r>
          </w:p>
        </w:tc>
      </w:tr>
      <w:tr>
        <w:trPr>
          <w:trHeight w:val="1437" w:hRule="atLeast"/>
        </w:trPr>
        <w:tc>
          <w:tcPr>
            <w:tcW w:w="6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eastAsia="Times New Roman" w:cs="Arial" w:ascii="Arial" w:hAnsi="Arial"/>
                <w:sz w:val="22"/>
                <w:szCs w:val="22"/>
              </w:rPr>
            </w:r>
          </w:p>
        </w:tc>
        <w:tc>
          <w:tcPr>
            <w:tcW w:w="40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both"/>
              <w:rPr>
                <w:rStyle w:val="Fontepargpadro"/>
                <w:rFonts w:ascii="Arial" w:hAnsi="Arial" w:eastAsia="Times New Roman" w:cs="Arial"/>
                <w:b w:val="false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pPr>
            <w:r>
              <w:rPr>
                <w:rFonts w:eastAsia="Times New Roman" w:cs="Arial" w:ascii="Arial" w:hAnsi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r>
          </w:p>
        </w:tc>
        <w:tc>
          <w:tcPr>
            <w:tcW w:w="16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</w:r>
          </w:p>
        </w:tc>
        <w:tc>
          <w:tcPr>
            <w:tcW w:w="14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r>
          </w:p>
        </w:tc>
        <w:tc>
          <w:tcPr>
            <w:tcW w:w="14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tabs>
          <w:tab w:val="clear" w:pos="408"/>
          <w:tab w:val="left" w:pos="0" w:leader="none"/>
        </w:tabs>
        <w:bidi w:val="0"/>
        <w:spacing w:lineRule="auto" w:line="240" w:before="0" w:after="0"/>
        <w:ind w:left="0" w:right="0" w:hanging="0"/>
        <w:jc w:val="left"/>
        <w:rPr>
          <w:rStyle w:val="LinkdaInternet"/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FF3333"/>
          <w:sz w:val="24"/>
          <w:szCs w:val="24"/>
        </w:rPr>
        <w:t>* Preencher o número do item conforme sequencial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FF3333"/>
          <w:sz w:val="24"/>
          <w:szCs w:val="24"/>
        </w:rPr>
        <w:t>** Os valores unitários deverão ser preenchidos de acordo com os valores informados no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4"/>
          <w:szCs w:val="24"/>
        </w:rPr>
      </w:pPr>
      <w:r>
        <w:rPr>
          <w:rFonts w:cs="arial" w:ascii="arial" w:hAnsi="arial"/>
          <w:color w:val="FF3333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Obs¹.: </w:t>
      </w:r>
      <w:r>
        <w:rPr>
          <w:rFonts w:cs="arial" w:ascii="arial" w:hAnsi="arial"/>
          <w:color w:val="000000"/>
          <w:sz w:val="24"/>
          <w:szCs w:val="24"/>
        </w:rPr>
        <w:t>A solicitação deverá ser cadastrada no sistema Betha, com os códigos constantes no(s) item(ns)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b/>
          <w:b/>
          <w:bCs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Obs².: 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u w:val="single"/>
        </w:rPr>
        <w:t xml:space="preserve">No momento do preenchimento da solicitação no sistema, deverá ser escolhida como </w:t>
      </w:r>
      <w:r>
        <w:rPr>
          <w:rFonts w:cs="arial" w:ascii="arial" w:hAnsi="arial"/>
          <w:b/>
          <w:bCs/>
          <w:color w:val="000000"/>
          <w:sz w:val="24"/>
          <w:szCs w:val="24"/>
          <w:u w:val="single"/>
        </w:rPr>
        <w:t>entidade gestora*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u w:val="single"/>
        </w:rPr>
        <w:t xml:space="preserve"> a Fundação Hospitalar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6"/>
          <w:szCs w:val="26"/>
        </w:rPr>
      </w:pPr>
      <w:r>
        <w:rPr>
          <w:rFonts w:cs="arial" w:ascii="arial" w:hAnsi="arial"/>
          <w:color w:val="FF3333"/>
          <w:sz w:val="26"/>
          <w:szCs w:val="26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none"/>
          <w:shd w:fill="auto" w:val="clear"/>
        </w:rPr>
      </w:pPr>
      <w:r>
        <w:rPr>
          <w:rFonts w:cs="arial" w:ascii="arial" w:hAnsi="arial"/>
          <w:b/>
          <w:bCs/>
          <w:color w:val="000000"/>
          <w:sz w:val="24"/>
          <w:szCs w:val="24"/>
          <w:shd w:fill="auto" w:val="clear"/>
        </w:rPr>
        <w:t>2. CONDIÇÕES GERAIS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1"/>
          <w:szCs w:val="21"/>
        </w:rPr>
      </w:pPr>
      <w:r>
        <w:rPr>
          <w:rFonts w:cs="arial" w:ascii="arial" w:hAnsi="arial"/>
          <w:color w:val="FF3333"/>
          <w:sz w:val="21"/>
          <w:szCs w:val="21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000000"/>
          <w:sz w:val="24"/>
          <w:szCs w:val="24"/>
          <w:shd w:fill="FFFFFF" w:val="clear"/>
        </w:rPr>
        <w:t xml:space="preserve">2.1. A contratação se dará em conformidade do disposto no Art. 29 da Lei Federal nº 14.133 de 01 de abril de 2021, Art. 122 do </w:t>
      </w:r>
      <w:bookmarkStart w:id="0" w:name="__DdeLink__59896_2999242570"/>
      <w:r>
        <w:rPr>
          <w:rFonts w:cs="arial" w:ascii="Arial" w:hAnsi="Arial"/>
          <w:color w:val="000000"/>
          <w:sz w:val="24"/>
          <w:szCs w:val="24"/>
          <w:shd w:fill="FFFFFF" w:val="clear"/>
        </w:rPr>
        <w:t>Decreto Municipal nº 11.595/2023</w:t>
      </w:r>
      <w:bookmarkEnd w:id="0"/>
      <w:r>
        <w:rPr>
          <w:rFonts w:cs="arial" w:ascii="Arial" w:hAnsi="Arial"/>
          <w:color w:val="000000"/>
          <w:sz w:val="24"/>
          <w:szCs w:val="24"/>
          <w:shd w:fill="FFFFFF" w:val="clear"/>
        </w:rPr>
        <w:t xml:space="preserve"> e Decreto Municipal nº 11.598/2023, bem como demais disposições legais aplicáveis à espécie.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Calibri" w:cs="arial" w:ascii="Arial" w:hAnsi="Arial"/>
          <w:color w:val="000000"/>
          <w:sz w:val="24"/>
          <w:szCs w:val="24"/>
          <w:shd w:fill="FFFFFF" w:val="clear"/>
          <w:lang w:val="pt-BR" w:eastAsia="zh-CN" w:bidi="ar-SA"/>
        </w:rPr>
        <w:t xml:space="preserve">2.2.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xx" w:bidi="ar-SA"/>
        </w:rPr>
        <w:t>O prazo de início da contratação dar-se-á a partir de 17/07/2026.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Times New Roman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xx" w:bidi="ar-SA"/>
        </w:rPr>
      </w:pPr>
      <w:r>
        <w:rPr>
          <w:rFonts w:eastAsia="Times New Roman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xx" w:bidi="ar-SA"/>
        </w:rPr>
      </w:r>
    </w:p>
    <w:p>
      <w:pPr>
        <w:pStyle w:val="Normal"/>
        <w:spacing w:before="0" w:after="0"/>
        <w:jc w:val="both"/>
        <w:rPr>
          <w:rFonts w:ascii="Arial" w:hAnsi="Arial" w:eastAsia="Times New Roman" w:cs="Arial"/>
          <w:color w:val="auto"/>
          <w:sz w:val="24"/>
          <w:szCs w:val="24"/>
          <w:shd w:fill="auto" w:val="clear"/>
          <w:lang w:eastAsia="pt-BR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shd w:fill="auto" w:val="clear"/>
          <w:lang w:val="pt-BR" w:eastAsia="pt-BR" w:bidi="ar-SA"/>
        </w:rPr>
        <w:t>2.3. As perícias deverão ser realizadas, nas instalações da Fundação e do prédio administrativo, de 2ª feira à 6ª feira, em horário a ser estipulado pela gestora contratual, no setor de Segurança e Medicina do Trabalho da FHOMUV ou quando necessário, na residência do servidor.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zxx" w:bidi="ar-SA"/>
        </w:rPr>
        <w:t xml:space="preserve">2.4.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pt-BR" w:bidi="ar-SA"/>
        </w:rPr>
        <w:t>O médico perito deverá realizar a avaliação do servidor no prazo máximo de 02 (dois) dias após a solicitação.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Times New Roman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none"/>
          <w:u w:val="none"/>
          <w:shd w:fill="auto" w:val="clear"/>
          <w:lang w:val="pt-BR" w:eastAsia="zxx" w:bidi="ar-SA"/>
        </w:rPr>
      </w:pPr>
      <w:r>
        <w:rPr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zxx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zxx" w:eastAsia="zxx" w:bidi="zxx"/>
        </w:rPr>
        <w:t xml:space="preserve">2.5.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zxx" w:eastAsia="pt-BR" w:bidi="zxx"/>
        </w:rPr>
        <w:t>O médico perito deverá emitir laudo pericial objetivo e legível, após avaliação minuciosa do servidor afastado por motivo de doença, contendo a data de retorno ao trabalho, a eventual necessidade de readaptação e a indicação, se recomendável, da aposentadoria por invalidez.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Arial Unicode MS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zxx" w:bidi="zxx"/>
        </w:rPr>
      </w:pPr>
      <w:r>
        <w:rPr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zxx" w:bidi="zxx"/>
        </w:rPr>
      </w:r>
    </w:p>
    <w:p>
      <w:pPr>
        <w:pStyle w:val="Normal"/>
        <w:widowControl w:val="false"/>
        <w:tabs>
          <w:tab w:val="clear" w:pos="408"/>
          <w:tab w:val="left" w:pos="709" w:leader="none"/>
        </w:tabs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 xml:space="preserve">2.6. 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auto" w:val="clear"/>
          <w:lang w:eastAsia="pt-BR"/>
        </w:rPr>
        <w:t>As perícias médicas deverão ser realizadas nas quantidades constantes em cada solicitação, que será formalizada através da Ordem de Compra/Autorização de Fornecimento.</w:t>
      </w:r>
    </w:p>
    <w:p>
      <w:pPr>
        <w:pStyle w:val="Normal"/>
        <w:widowControl w:val="false"/>
        <w:tabs>
          <w:tab w:val="clear" w:pos="408"/>
          <w:tab w:val="left" w:pos="709" w:leader="none"/>
        </w:tabs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Times New Roman" w:cs="Arial"/>
          <w:color w:val="auto"/>
          <w:sz w:val="24"/>
          <w:szCs w:val="24"/>
          <w:shd w:fill="auto" w:val="clear"/>
          <w:lang w:eastAsia="pt-BR"/>
        </w:rPr>
      </w:pPr>
      <w:r>
        <w:rPr>
          <w:rFonts w:eastAsia="Times New Roman" w:cs="Arial" w:ascii="ARIAL" w:hAnsi="ARIAL"/>
          <w:color w:val="000000"/>
          <w:sz w:val="24"/>
          <w:szCs w:val="24"/>
          <w:shd w:fill="auto" w:val="clear"/>
          <w:lang w:eastAsia="pt-BR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  <w:shd w:fill="auto" w:val="clear"/>
        </w:rPr>
        <w:t xml:space="preserve">2.7. </w:t>
      </w:r>
      <w:r>
        <w:rPr>
          <w:rFonts w:eastAsia="Times New Roman" w:cs="Arial" w:ascii="Arial" w:hAnsi="Arial"/>
          <w:color w:val="000000"/>
          <w:sz w:val="24"/>
          <w:szCs w:val="24"/>
          <w:shd w:fill="auto" w:val="clear"/>
          <w:lang w:eastAsia="pt-BR"/>
        </w:rPr>
        <w:t>O médico perito deverá emitir laudo pericial objetivo e legível, após avaliação minuciosa do servidor afastado por motivo de doença, contendo a data de retorno ao trabalho, a eventual necessidade de readaptação e a indicação, se recomendável, da aposentadoria por invalidez.</w:t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  <w:shd w:fill="auto" w:val="clear"/>
        </w:rPr>
        <w:t>2.8. A contr</w:t>
      </w:r>
      <w:r>
        <w:rPr>
          <w:rFonts w:cs="Arial" w:ascii="ARIAL" w:hAnsi="ARIAL"/>
          <w:sz w:val="24"/>
          <w:szCs w:val="24"/>
        </w:rPr>
        <w:t>atada deve informar, imediatamente e por escrito, se houver algum problema que possa comprometer a entrega do objeto.</w:t>
      </w:r>
    </w:p>
    <w:p>
      <w:pPr>
        <w:pStyle w:val="Normal"/>
        <w:widowControl w:val="false"/>
        <w:tabs>
          <w:tab w:val="clear" w:pos="408"/>
          <w:tab w:val="left" w:pos="709" w:leader="none"/>
        </w:tabs>
        <w:bidi w:val="0"/>
        <w:spacing w:lineRule="auto" w:line="240" w:before="0" w:after="0"/>
        <w:ind w:left="0" w:right="0" w:hanging="0"/>
        <w:jc w:val="both"/>
        <w:rPr>
          <w:rStyle w:val="Teletipo"/>
        </w:rPr>
      </w:pPr>
      <w:r>
        <w:rPr/>
      </w:r>
    </w:p>
    <w:p>
      <w:pPr>
        <w:pStyle w:val="Normal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shd w:fill="FFFFFF" w:val="clear"/>
        </w:rPr>
      </w:pPr>
      <w:r>
        <w:rPr>
          <w:rStyle w:val="Fontepargpadro"/>
          <w:rFonts w:eastAsia="Arial Unicode MS" w:cs="Arial" w:ascii="ARIAL" w:hAnsi="ARIAL"/>
          <w:bCs/>
          <w:color w:val="000000"/>
          <w:sz w:val="24"/>
          <w:szCs w:val="24"/>
          <w:u w:val="none"/>
          <w:shd w:fill="FFFFFF" w:val="clear"/>
          <w:lang w:val="pt-BR" w:eastAsia="zxx" w:bidi="zxx"/>
        </w:rPr>
        <w:t xml:space="preserve">2.9. </w:t>
      </w:r>
      <w:r>
        <w:rPr>
          <w:rStyle w:val="Fontepargpadro"/>
          <w:rFonts w:eastAsia="Times New Roman" w:cs="Arial" w:ascii="ARIAL" w:hAnsi="ARIAL"/>
          <w:bCs/>
          <w:color w:val="000000"/>
          <w:sz w:val="24"/>
          <w:szCs w:val="24"/>
          <w:u w:val="none"/>
          <w:shd w:fill="FFFFFF" w:val="clear"/>
          <w:lang w:val="pt-BR" w:eastAsia="pt-BR" w:bidi="zxx"/>
        </w:rPr>
        <w:t>Todos e quaisquer avisos e comunicados deverão ser realizados por escrito. Será considerado inexistente quaisquer ajustes celebrados de outro modo.</w:t>
      </w:r>
    </w:p>
    <w:p>
      <w:pPr>
        <w:pStyle w:val="Normal"/>
        <w:spacing w:before="0" w:after="0"/>
        <w:jc w:val="both"/>
        <w:rPr>
          <w:rStyle w:val="Fontepargpadro"/>
        </w:rPr>
      </w:pPr>
      <w:r>
        <w:rPr/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 ADEQUAÇÃO ORÇAMENTÁRIA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3.1. As despesas decorrentes da presente contratação correrão à conta de recursos específicos consignados na Lei Orçamentária Anual.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left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3.2. A contratação será atendida pela seguinte dotação: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Informar a dotação orçamentária disponível para a aquisição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/>
          <w:b/>
          <w:i w:val="false"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3.3. Eventual dotação relativa aos exercícios financeiros subsequentes será indicada após aprovação da Lei Orçamentária respectiva e liberação dos créditos correspondentes.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ab/>
      </w: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Obs.: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Deverá ser encaminhado o Documento de Disponibilidade Orçamentária devidamente assinado.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 GESTÃO E FISCALIZAÇÃO CONTRATUAL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4.1. A gestão da contratação será efetuada pelo(a) Sr(a) …. , bem como a fiscalização técnica será realizada pelo(a) Sr(a). …., nomeados pela Portaria nº …/202 .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0000"/>
          <w:sz w:val="24"/>
          <w:szCs w:val="24"/>
          <w:shd w:fill="FFFFFF" w:val="clear"/>
          <w:lang w:val="pt-BR" w:eastAsia="zh-CN" w:bidi="ar-SA"/>
        </w:rPr>
        <w:t xml:space="preserve"> (informar os nomes e portaria de nomeação).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 CONDIÇÕES DE PAGAMENTO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5.1. Os pagamentos serão efetuados conforme …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(inserir condições de pagamento do Órgão).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5.2. Será considerada data do pagamento o dia em que constar depósito bancário para pagamento.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Fonts w:ascii="Arial" w:hAnsi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5.3. O pagamento será efetuado com as devidas retenções tributárias previstas em legislação vigente.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  DISPOSIÇÕES FINAIS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6.1. O presente Órgão declara estar ciente e de acordo com as condições estabelecidas pela Fundação Hospitalar do Município de Varginha, no que tange a escolha da solução para a presente contratação, as condições elencadas no Termo de Referência e demais documentos relacionados à presente Intenção de Registro de Preços.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6.2. O Órgão declara estar ciente das responsabilidades do ente participante, elencadas na Lei nº 14.133/21, </w:t>
      </w:r>
      <w:bookmarkStart w:id="1" w:name="__DdeLink__49230_2999242570"/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Decreto Municipal nº 11.595/23</w:t>
      </w:r>
      <w:bookmarkEnd w:id="1"/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e Decreto Municipal nº 11.598/23.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Varginha,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kern w:val="0"/>
          <w:sz w:val="24"/>
          <w:szCs w:val="24"/>
          <w:shd w:fill="FFFFFF" w:val="clear"/>
          <w:lang w:val="pt-BR" w:eastAsia="zh-CN" w:bidi="ar-SA"/>
        </w:rPr>
        <w:t>xxxxx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2026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Nome e assinatura do responsável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  <w:t>Cargo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Órgão </w:t>
      </w:r>
    </w:p>
    <w:sectPr>
      <w:headerReference w:type="default" r:id="rId2"/>
      <w:footerReference w:type="default" r:id="rId3"/>
      <w:type w:val="nextPage"/>
      <w:pgSz w:w="11906" w:h="16838"/>
      <w:pgMar w:left="1701" w:right="1134" w:gutter="0" w:header="0" w:top="1531" w:footer="283" w:bottom="1373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DejaVu Sans Mono">
    <w:altName w:val="Yu Gothic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ARIAL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jc w:val="center"/>
      <w:rPr>
        <w:rFonts w:ascii="Arial" w:hAnsi="Arial"/>
      </w:rPr>
    </w:pPr>
    <w:r>
      <w:rPr>
        <w:rFonts w:ascii="Arial" w:hAnsi="Arial"/>
      </w:rPr>
      <w:t>_______________________________________________________________________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Rua Presidente Tancredo Neves, 500 – Bom Pastor – Varginha MG – 37.014-460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CNPJ 19.110.162/0001-00 – Inscrição Estadual Isento – 35 3606.3591/3592/3593/3594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tabs>
        <w:tab w:val="left" w:pos="2031" w:leader="none"/>
        <w:tab w:val="center" w:pos="4252" w:leader="none"/>
        <w:tab w:val="right" w:pos="8504" w:leader="none"/>
      </w:tabs>
      <w:ind w:left="0" w:right="0" w:hanging="1134"/>
      <w:rPr/>
    </w:pPr>
    <w:r>
      <w:rPr/>
      <w:drawing>
        <wp:inline distT="0" distB="0" distL="0" distR="0">
          <wp:extent cx="7229475" cy="1365250"/>
          <wp:effectExtent l="0" t="0" r="0" b="0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347" t="-1763" r="-347" b="-1763"/>
                  <a:stretch>
                    <a:fillRect/>
                  </a:stretch>
                </pic:blipFill>
                <pic:spPr bwMode="auto">
                  <a:xfrm>
                    <a:off x="0" y="0"/>
                    <a:ext cx="7229475" cy="1365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  <w:drawing>
        <wp:anchor behindDoc="1" distT="0" distB="0" distL="0" distR="0" simplePos="0" locked="0" layoutInCell="0" allowOverlap="1" relativeHeight="4">
          <wp:simplePos x="0" y="0"/>
          <wp:positionH relativeFrom="column">
            <wp:align>center</wp:align>
          </wp:positionH>
          <wp:positionV relativeFrom="margin">
            <wp:align>center</wp:align>
          </wp:positionV>
          <wp:extent cx="3201670" cy="3201670"/>
          <wp:effectExtent l="0" t="0" r="0" b="0"/>
          <wp:wrapNone/>
          <wp:docPr id="2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-779" t="-779" r="-779" b="-779"/>
                  <a:stretch>
                    <a:fillRect/>
                  </a:stretch>
                </pic:blipFill>
                <pic:spPr bwMode="auto">
                  <a:xfrm>
                    <a:off x="0" y="0"/>
                    <a:ext cx="3201670" cy="3201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00"/>
  <w:defaultTabStop w:val="4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;Calibri"/>
      <w:color w:val="00000A"/>
      <w:kern w:val="0"/>
      <w:sz w:val="22"/>
      <w:szCs w:val="22"/>
      <w:lang w:val="pt-BR" w:eastAsia="zh-CN" w:bidi="ar-SA"/>
    </w:rPr>
  </w:style>
  <w:style w:type="paragraph" w:styleId="Ttulo6">
    <w:name w:val="Heading 6"/>
    <w:basedOn w:val="Normal"/>
    <w:next w:val="Normal"/>
    <w:qFormat/>
    <w:pPr>
      <w:keepNext w:val="true"/>
      <w:ind w:left="0" w:right="0" w:hanging="0"/>
      <w:jc w:val="center"/>
      <w:outlineLvl w:val="5"/>
    </w:pPr>
    <w:rPr>
      <w:b/>
      <w:sz w:val="24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Fontepargpadro">
    <w:name w:val="Fonte parág. padrão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DefaultParagraphFont">
    <w:name w:val="Default Paragraph Font"/>
    <w:qFormat/>
    <w:rPr/>
  </w:style>
  <w:style w:type="character" w:styleId="CabealhoChar">
    <w:name w:val="Cabeçalho Char"/>
    <w:basedOn w:val="DefaultParagraphFont"/>
    <w:qFormat/>
    <w:rPr/>
  </w:style>
  <w:style w:type="character" w:styleId="RodapChar">
    <w:name w:val="Rodapé Char"/>
    <w:basedOn w:val="DefaultParagraphFont"/>
    <w:qFormat/>
    <w:rPr/>
  </w:style>
  <w:style w:type="character" w:styleId="TextodebaloChar">
    <w:name w:val="Texto de balão Char"/>
    <w:qFormat/>
    <w:rPr>
      <w:rFonts w:ascii="Tahoma" w:hAnsi="Tahoma" w:cs="Tahoma"/>
      <w:sz w:val="16"/>
      <w:szCs w:val="16"/>
    </w:rPr>
  </w:style>
  <w:style w:type="character" w:styleId="WWFontepargpadro1111">
    <w:name w:val="WW-Fonte parág. padrão1111"/>
    <w:qFormat/>
    <w:rPr/>
  </w:style>
  <w:style w:type="character" w:styleId="LinkdaInternet">
    <w:name w:val="Hyperlink"/>
    <w:basedOn w:val="WWFontepargpadro1111"/>
    <w:rPr>
      <w:color w:val="0000FF"/>
      <w:u w:val="single"/>
    </w:rPr>
  </w:style>
  <w:style w:type="character" w:styleId="Teletipo">
    <w:name w:val="Teletipo"/>
    <w:qFormat/>
    <w:rPr>
      <w:rFonts w:ascii="DejaVu Sans Mono;Yu Gothic" w:hAnsi="DejaVu Sans Mono;Yu Gothic" w:eastAsia="DejaVu Sans Mono;Yu Gothic" w:cs="DejaVu Sans Mono;Yu Gothic"/>
    </w:rPr>
  </w:style>
  <w:style w:type="character" w:styleId="WW8Num5z0">
    <w:name w:val="WW8Num5z0"/>
    <w:qFormat/>
    <w:rPr>
      <w:rFonts w:ascii="Arial" w:hAnsi="Arial" w:cs="Arial"/>
    </w:rPr>
  </w:style>
  <w:style w:type="character" w:styleId="WW8Num6z0">
    <w:name w:val="WW8Num6z0"/>
    <w:qFormat/>
    <w:rPr>
      <w:rFonts w:ascii="Arial" w:hAnsi="Arial" w:cs="Arial"/>
      <w:b w:val="false"/>
      <w:bCs w:val="false"/>
      <w:i w:val="false"/>
      <w:iCs w:val="false"/>
      <w:sz w:val="24"/>
      <w:szCs w:val="24"/>
    </w:rPr>
  </w:style>
  <w:style w:type="character" w:styleId="Strong">
    <w:name w:val="Strong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;Arial" w:hAnsi="Liberation Sans;Arial" w:eastAsia="DejaVu Sans" w:cs="DejaVu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FreeSans;Calib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FreeSans;Calib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FreeSans;Calibri"/>
    </w:rPr>
  </w:style>
  <w:style w:type="paragraph" w:styleId="Ttulo1">
    <w:name w:val="Título1"/>
    <w:basedOn w:val="Normal"/>
    <w:qFormat/>
    <w:pPr>
      <w:keepNext w:val="true"/>
      <w:spacing w:before="240" w:after="120"/>
    </w:pPr>
    <w:rPr>
      <w:rFonts w:ascii="Liberation Sans;Arial" w:hAnsi="Liberation Sans;Arial" w:eastAsia="DejaVu Sans" w:cs="FreeSans;Calibri"/>
      <w:sz w:val="28"/>
      <w:szCs w:val="28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istParagraph">
    <w:name w:val="List Paragraph"/>
    <w:basedOn w:val="Normal"/>
    <w:qFormat/>
    <w:pPr>
      <w:suppressAutoHyphens w:val="true"/>
      <w:ind w:left="720" w:right="0" w:hanging="0"/>
    </w:pPr>
    <w:rPr/>
  </w:style>
  <w:style w:type="paragraph" w:styleId="LONormal">
    <w:name w:val="LO-Normal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Calibri" w:cs="DejaVu Sans"/>
      <w:color w:val="auto"/>
      <w:kern w:val="0"/>
      <w:sz w:val="20"/>
      <w:szCs w:val="22"/>
      <w:lang w:val="pt-BR" w:eastAsia="en-US" w:bidi="ar-SA"/>
    </w:rPr>
  </w:style>
  <w:style w:type="paragraph" w:styleId="PargrafodaLista">
    <w:name w:val="Parágrafo da Lista"/>
    <w:basedOn w:val="Normal"/>
    <w:qFormat/>
    <w:pPr>
      <w:suppressAutoHyphens w:val="true"/>
      <w:ind w:left="720" w:right="0" w:hanging="0"/>
    </w:pPr>
    <w:rPr/>
  </w:style>
  <w:style w:type="numbering" w:styleId="WW8Num1">
    <w:name w:val="WW8Num1"/>
    <w:qFormat/>
  </w:style>
  <w:style w:type="numbering" w:styleId="WW8Num5">
    <w:name w:val="WW8Num5"/>
    <w:qFormat/>
  </w:style>
  <w:style w:type="numbering" w:styleId="WW8Num6">
    <w:name w:val="WW8Num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2827</TotalTime>
  <Application>LibreOffice/7.4.7.2$Linux_X86_64 LibreOffice_project/40$Build-2</Application>
  <AppVersion>15.0000</AppVersion>
  <Pages>3</Pages>
  <Words>685</Words>
  <Characters>3987</Characters>
  <CharactersWithSpaces>4630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2021-11-09T13:22:00Z</dcterms:created>
  <dc:creator>Odillon</dc:creator>
  <dc:description/>
  <dc:language>pt-BR</dc:language>
  <cp:lastModifiedBy/>
  <cp:lastPrinted>1995-11-21T17:41:00Z</cp:lastPrinted>
  <dcterms:modified xsi:type="dcterms:W3CDTF">2026-04-13T10:41:49Z</dcterms:modified>
  <cp:revision>589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