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b/>
          <w:b/>
          <w:bCs/>
          <w:color w:val="00000A"/>
          <w:sz w:val="24"/>
          <w:szCs w:val="24"/>
          <w:u w:val="single"/>
          <w:lang w:val="pt-BR" w:eastAsia="zxx" w:bidi="ar-SA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INTENÇÃO DE REGISTRO DE PREÇOS Nº 006/2026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eastAsia="Calibri" w:cs="Calibri"/>
          <w:color w:val="00000A"/>
          <w:sz w:val="16"/>
          <w:szCs w:val="20"/>
          <w:lang w:val="pt-BR" w:eastAsia="zxx" w:bidi="ar-SA"/>
        </w:rPr>
      </w:pPr>
      <w:r>
        <w:rPr>
          <w:rFonts w:eastAsia="Calibri" w:cs="Calibri"/>
          <w:color w:val="00000A"/>
          <w:sz w:val="16"/>
          <w:szCs w:val="20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u w:val="none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none"/>
          <w:lang w:val="pt-BR" w:eastAsia="zxx" w:bidi="ar-SA"/>
        </w:rPr>
        <w:t>SOLICITAÇÃO DE PARTICIPAÇÃO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color w:val="00000A"/>
          <w:sz w:val="24"/>
          <w:szCs w:val="24"/>
          <w:lang w:val="pt-BR" w:eastAsia="zxx" w:bidi="ar-SA"/>
        </w:rPr>
      </w:pPr>
      <w:r>
        <w:rPr>
          <w:rFonts w:eastAsia="Times New Roman" w:cs="arial" w:ascii="arial" w:hAnsi="arial"/>
          <w:color w:val="00000A"/>
          <w:sz w:val="24"/>
          <w:szCs w:val="24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b/>
          <w:b/>
          <w:bCs/>
          <w:color w:val="000000"/>
          <w:sz w:val="24"/>
          <w:szCs w:val="24"/>
          <w:lang w:eastAsia="ar-SA"/>
        </w:rPr>
      </w:pPr>
      <w:r>
        <w:rPr>
          <w:rFonts w:eastAsia="Times New Roman" w:cs="Arial" w:ascii="Arial" w:hAnsi="Arial"/>
          <w:b/>
          <w:bCs/>
          <w:color w:val="000000"/>
          <w:sz w:val="24"/>
          <w:szCs w:val="24"/>
          <w:lang w:eastAsia="ar-SA"/>
        </w:rPr>
        <w:t>1. OBJETO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eastAsia="Times New Roman" w:cs="Arial"/>
          <w:color w:val="000000"/>
          <w:sz w:val="24"/>
          <w:szCs w:val="24"/>
          <w:lang w:eastAsia="ar-SA"/>
        </w:rPr>
      </w:pPr>
      <w:r>
        <w:rPr>
          <w:rFonts w:eastAsia="Times New Roman" w:cs="Arial"/>
          <w:color w:val="000000"/>
          <w:sz w:val="24"/>
          <w:szCs w:val="24"/>
          <w:lang w:eastAsia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imes New Roman" w:cs="Arial" w:ascii="Arial" w:hAnsi="Arial"/>
          <w:color w:val="000000"/>
          <w:sz w:val="24"/>
          <w:szCs w:val="24"/>
          <w:lang w:val="pt-BR" w:eastAsia="ar-SA" w:bidi="ar-SA"/>
        </w:rPr>
        <w:t xml:space="preserve">1.1. Constitui objeto deste instrumento </w:t>
      </w:r>
      <w:r>
        <w:rPr>
          <w:rStyle w:val="LinkdaInternet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2"/>
          <w:sz w:val="24"/>
          <w:szCs w:val="24"/>
          <w:highlight w:val="white"/>
          <w:u w:val="none"/>
          <w:shd w:fill="FFFFFF" w:val="clear"/>
          <w:em w:val="none"/>
          <w:lang w:val="pt-BR" w:eastAsia="ar-SA" w:bidi="ar-SA"/>
        </w:rPr>
        <w:t>aquisição de carnes (bovina, suína, aves, pescado e embutidos)</w:t>
      </w:r>
      <w:r>
        <w:rPr>
          <w:rFonts w:eastAsia="Times New Roman" w:cs="Arial" w:ascii="Arial" w:hAnsi="Arial"/>
          <w:b w:val="false"/>
          <w:bCs w:val="false"/>
          <w:color w:val="000000"/>
          <w:sz w:val="24"/>
          <w:szCs w:val="24"/>
          <w:highlight w:val="white"/>
          <w:lang w:val="pt-BR" w:eastAsia="ar-SA" w:bidi="ar-SA"/>
        </w:rPr>
        <w:t>, via Sistema de Registro de Preços,</w:t>
      </w: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 xml:space="preserve"> para atendimento aos Órgãos da Administração Direta e Indireta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color w:val="000000"/>
          <w:sz w:val="24"/>
          <w:szCs w:val="24"/>
          <w:lang w:val="pt-BR" w:eastAsia="ar-SA" w:bidi="ar-SA"/>
        </w:rPr>
      </w:pP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>1.2. Estima-se a aquisição dos seguintes itens e respectivas quantidades: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tbl>
      <w:tblPr>
        <w:tblW w:w="9240" w:type="dxa"/>
        <w:jc w:val="left"/>
        <w:tblInd w:w="-22" w:type="dxa"/>
        <w:tblLayout w:type="fixed"/>
        <w:tblCellMar>
          <w:top w:w="0" w:type="dxa"/>
          <w:left w:w="2" w:type="dxa"/>
          <w:bottom w:w="0" w:type="dxa"/>
          <w:right w:w="57" w:type="dxa"/>
        </w:tblCellMar>
      </w:tblPr>
      <w:tblGrid>
        <w:gridCol w:w="667"/>
        <w:gridCol w:w="4010"/>
        <w:gridCol w:w="1679"/>
        <w:gridCol w:w="1459"/>
        <w:gridCol w:w="1425"/>
      </w:tblGrid>
      <w:tr>
        <w:trPr/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Item</w:t>
            </w:r>
            <w:r>
              <w:rPr>
                <w:rFonts w:eastAsia="Times New Roman" w:cs="Arial" w:ascii="Arial" w:hAnsi="Arial"/>
                <w:b/>
                <w:bCs/>
                <w:color w:val="FF3333"/>
                <w:sz w:val="22"/>
                <w:szCs w:val="22"/>
              </w:rPr>
              <w:t>*</w:t>
            </w:r>
          </w:p>
        </w:tc>
        <w:tc>
          <w:tcPr>
            <w:tcW w:w="40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Especificação</w:t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Quantidade para 12 meses</w:t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unit.</w:t>
            </w:r>
            <w:r>
              <w:rPr>
                <w:rFonts w:ascii="Arial" w:hAnsi="Arial"/>
                <w:b/>
                <w:bCs/>
                <w:color w:val="FF3333"/>
                <w:sz w:val="22"/>
                <w:szCs w:val="22"/>
              </w:rPr>
              <w:t>**</w:t>
            </w:r>
          </w:p>
        </w:tc>
        <w:tc>
          <w:tcPr>
            <w:tcW w:w="14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Total</w:t>
            </w:r>
          </w:p>
        </w:tc>
      </w:tr>
      <w:tr>
        <w:trPr>
          <w:trHeight w:val="1437" w:hRule="atLeast"/>
        </w:trPr>
        <w:tc>
          <w:tcPr>
            <w:tcW w:w="6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sz w:val="22"/>
                <w:szCs w:val="22"/>
              </w:rPr>
            </w:r>
          </w:p>
        </w:tc>
        <w:tc>
          <w:tcPr>
            <w:tcW w:w="40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both"/>
              <w:rPr>
                <w:rStyle w:val="Fontepargpadro"/>
                <w:rFonts w:ascii="Arial" w:hAnsi="Arial" w:eastAsia="Times New Roman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r>
          </w:p>
        </w:tc>
        <w:tc>
          <w:tcPr>
            <w:tcW w:w="16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r>
          </w:p>
        </w:tc>
        <w:tc>
          <w:tcPr>
            <w:tcW w:w="142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408"/>
          <w:tab w:val="left" w:pos="0" w:leader="none"/>
        </w:tabs>
        <w:bidi w:val="0"/>
        <w:spacing w:lineRule="auto" w:line="240" w:before="0" w:after="0"/>
        <w:ind w:left="0" w:right="0" w:hanging="0"/>
        <w:jc w:val="left"/>
        <w:rPr>
          <w:rStyle w:val="LinkdaInternet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 Preencher o número do item conforme sequencial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FF3333"/>
          <w:sz w:val="24"/>
          <w:szCs w:val="24"/>
        </w:rPr>
        <w:t>** Os valores unitários deverão ser preenchidos de acordo com os valores informados no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Obs¹.: </w:t>
      </w:r>
      <w:r>
        <w:rPr>
          <w:rFonts w:cs="arial" w:ascii="arial" w:hAnsi="arial"/>
          <w:color w:val="000000"/>
          <w:sz w:val="24"/>
          <w:szCs w:val="24"/>
        </w:rPr>
        <w:t>A solicitação deverá ser cadastrada no sistema Betha, com os códigos constantes no(s) item(ns)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Obs².: 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No momento do preenchimento da solicitação no sistema, deverá ser escolhido como </w:t>
      </w:r>
      <w:r>
        <w:rPr>
          <w:rFonts w:cs="arial" w:ascii="arial" w:hAnsi="arial"/>
          <w:b/>
          <w:bCs/>
          <w:color w:val="000000"/>
          <w:sz w:val="24"/>
          <w:szCs w:val="24"/>
          <w:u w:val="single"/>
        </w:rPr>
        <w:t>entidade gestora*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u w:val="single"/>
        </w:rPr>
        <w:t xml:space="preserve"> a Fundação Hospitalar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6"/>
          <w:szCs w:val="26"/>
        </w:rPr>
      </w:pPr>
      <w:r>
        <w:rPr>
          <w:rFonts w:cs="arial" w:ascii="arial" w:hAnsi="arial"/>
          <w:color w:val="FF3333"/>
          <w:sz w:val="26"/>
          <w:szCs w:val="26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2. CONDIÇÕES GERAIS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1"/>
          <w:szCs w:val="21"/>
        </w:rPr>
      </w:pPr>
      <w:r>
        <w:rPr>
          <w:rFonts w:cs="arial" w:ascii="arial" w:hAnsi="arial"/>
          <w:color w:val="FF3333"/>
          <w:sz w:val="21"/>
          <w:szCs w:val="21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  <w:t xml:space="preserve">2.1.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xx" w:bidi="ar-SA"/>
        </w:rPr>
        <w:t>O fornecimento das carnes processar-se-á de forma parcelada, mediante solicitação.</w:t>
      </w:r>
    </w:p>
    <w:p>
      <w:pPr>
        <w:pStyle w:val="Normal"/>
        <w:bidi w:val="0"/>
        <w:spacing w:lineRule="auto" w:line="252" w:before="0" w:after="0"/>
        <w:jc w:val="both"/>
        <w:rPr>
          <w:rStyle w:val="Fontepargpadro"/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Calibri" w:cs="arial" w:ascii="Arial" w:hAnsi="Arial"/>
          <w:color w:val="000000"/>
          <w:sz w:val="24"/>
          <w:szCs w:val="24"/>
          <w:shd w:fill="FFFFFF" w:val="clear"/>
          <w:lang w:val="pt-BR" w:eastAsia="zh-CN" w:bidi="ar-SA"/>
        </w:rPr>
        <w:t xml:space="preserve">2.2.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xx" w:bidi="ar-SA"/>
        </w:rPr>
        <w:t>O prazo de início da contratação dar-se-á a partir da assinatura da Ata de Registro de Preços.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2.3. 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h-CN" w:bidi="ar-SA"/>
        </w:rPr>
        <w:t>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h-CN" w:bidi="ar-SA"/>
        </w:rPr>
        <w:t>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h-CN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h-CN" w:bidi="ar-SA"/>
        </w:rPr>
        <w:t>ite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h-CN" w:bidi="ar-SA"/>
        </w:rPr>
        <w:t>ns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h-CN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h-CN" w:bidi="ar-SA"/>
        </w:rPr>
        <w:t>deverã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h-CN" w:bidi="ar-SA"/>
        </w:rPr>
        <w:t>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h-CN" w:bidi="ar-SA"/>
        </w:rPr>
        <w:t xml:space="preserve"> ser entregue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h-CN" w:bidi="ar-SA"/>
        </w:rPr>
        <w:t xml:space="preserve">s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zh-CN" w:bidi="ar-SA"/>
        </w:rPr>
        <w:t>diariamente na sede do Órgão.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highlight w:val="white"/>
          <w:u w:val="non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highlight w:val="white"/>
          <w:u w:val="non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 xml:space="preserve">2.4.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ar-SA"/>
        </w:rPr>
        <w:t>Os cortes deverão ser embalados, não podendo seu peso ultrapassar a 02 (dois) quilos.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auto"/>
          <w:sz w:val="24"/>
          <w:szCs w:val="24"/>
          <w:highlight w:val="white"/>
          <w:u w:val="none"/>
          <w:lang w:val="pt-BR" w:eastAsia="pt-BR" w:bidi="ar-SA"/>
        </w:rPr>
      </w:pPr>
      <w:r>
        <w:rPr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auto"/>
          <w:sz w:val="24"/>
          <w:szCs w:val="24"/>
          <w:highlight w:val="white"/>
          <w:u w:val="none"/>
          <w:lang w:val="pt-BR" w:eastAsia="pt-BR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kern w:val="2"/>
          <w:sz w:val="24"/>
          <w:szCs w:val="24"/>
          <w:u w:val="none"/>
          <w:shd w:fill="FFFFFF" w:val="clear"/>
          <w:lang w:val="pt-BR" w:eastAsia="pt-BR" w:bidi="ar-SA"/>
        </w:rPr>
        <w:t>2.5. As carne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s deverão ser entregues…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FF3333"/>
          <w:kern w:val="2"/>
          <w:sz w:val="24"/>
          <w:szCs w:val="24"/>
          <w:u w:val="none"/>
          <w:shd w:fill="FFFFFF" w:val="clear"/>
          <w:lang w:val="pt-BR" w:eastAsia="pt-BR" w:bidi="ar-SA"/>
        </w:rPr>
        <w:t>(informar local com endereço, dias e horário para a entrega)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kern w:val="2"/>
          <w:sz w:val="24"/>
          <w:szCs w:val="24"/>
          <w:u w:val="none"/>
          <w:shd w:fill="FFFFFF" w:val="clear"/>
          <w:lang w:val="pt-BR" w:eastAsia="pt-BR" w:bidi="ar-SA"/>
        </w:rPr>
        <w:t>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A"/>
          <w:kern w:val="2"/>
          <w:sz w:val="24"/>
          <w:szCs w:val="24"/>
          <w:u w:val="none"/>
          <w:shd w:fill="FFFFFF" w:val="clear"/>
          <w:lang w:val="pt-BR" w:eastAsia="pt-BR" w:bidi="ar-SA"/>
        </w:rPr>
      </w:pPr>
      <w:r>
        <w:rPr/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2.6.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>Os produtos somente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 serã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>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 considerad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>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>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 aceit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>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>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 após conferência da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>n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>utricionista responsável, ficando sujeito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>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 à substituição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>imediata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 desde que comprovada a pré existência de problemas, má-fé do fornecedor ou condições de transporte que comprometam a integridade d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>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>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 xml:space="preserve"> produto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>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2"/>
          <w:sz w:val="24"/>
          <w:szCs w:val="24"/>
          <w:u w:val="none"/>
          <w:shd w:fill="FFFFFF" w:val="clear"/>
          <w:lang w:val="pt-BR" w:eastAsia="pt-BR" w:bidi="ar-SA"/>
        </w:rPr>
        <w:t>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Times New Roman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A"/>
          <w:kern w:val="2"/>
          <w:sz w:val="24"/>
          <w:szCs w:val="24"/>
          <w:u w:val="none"/>
          <w:lang w:val="pt-BR" w:eastAsia="pt-BR" w:bidi="ar-SA"/>
        </w:rPr>
      </w:pPr>
      <w:r>
        <w:rPr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auto"/>
          <w:sz w:val="24"/>
          <w:szCs w:val="24"/>
          <w:highlight w:val="white"/>
          <w:u w:val="none"/>
          <w:lang w:val="pt-BR" w:eastAsia="pt-BR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pt-BR" w:bidi="ar-SA"/>
        </w:rPr>
        <w:t>2.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pt-BR" w:bidi="ar-SA"/>
        </w:rPr>
        <w:t>7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pt-BR" w:bidi="ar-SA"/>
        </w:rPr>
        <w:t xml:space="preserve">. </w:t>
      </w:r>
      <w:r>
        <w:rPr>
          <w:rStyle w:val="Fontepargpadr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pt-BR" w:bidi="zxx"/>
        </w:rPr>
        <w:t>A empresa contratada deverá arcar com todas as despesas necessárias ao fornecimento, inclusive transportes, carga e descarga, encargos sociais, trabalhistas e fiscais para o fornecimento dos itens, além de impostos inerentes à comercialização.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Teletipo"/>
          <w:rFonts w:ascii="Arial" w:hAnsi="Arial"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zxx" w:bidi="ar-SA"/>
        </w:rPr>
      </w:pPr>
      <w:r>
        <w:rPr>
          <w:rFonts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 ADEQUAÇÃO ORÇAMENTÁRIA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3.1. As despesas decorrentes da presente contratação correrão à conta de recursos específicos consignados na Lei Orçamentária Anual.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3.2. A contratação será atendida pela seguinte dotação: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Informar a dotação orçamentária disponível para a aquisição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/>
          <w:b/>
          <w:i w:val="false"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i w:val="false"/>
          <w:iCs w:val="false"/>
          <w:color w:val="000000"/>
          <w:sz w:val="12"/>
          <w:szCs w:val="12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3.3. Eventual dotação relativa aos exercícios financeiros subsequentes será indicada após aprovação da Lei Orçamentária respectiva e liberação dos créditos correspondentes.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ab/>
      </w: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Obs.: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Deverá ser encaminhado o Documento de Disponibilidade Orçamentária devidamente assinado.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 GESTÃO E FISCALIZAÇÃO CONTRATUAL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4.1. A gestão da contratação será efetuada pelo(a) Sr(a) …. , bem como a fiscalização técnica será realizada pelo(a) Sr(a). …., nomeados pela Portaria nº …/202 .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0000"/>
          <w:sz w:val="24"/>
          <w:szCs w:val="24"/>
          <w:shd w:fill="FFFFFF" w:val="clear"/>
          <w:lang w:val="pt-BR" w:eastAsia="zh-CN" w:bidi="ar-SA"/>
        </w:rPr>
        <w:t xml:space="preserve"> (informar os nomes e portaria de nomeação).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 CONDIÇÕES DE PAGAMENTO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5.1. Os pagamentos serão efetuados conforme …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(inserir condições de pagamento do Órgão).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5.2. Será considerada data do pagamento o dia em que constar depósito bancário para pagamento.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5.3. O pagamento será efetuada com as devidas retenções tributárias previstas em legislação vigente.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  DISPOSIÇÕES FINAIS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6.1. O presente Órgão declara estar ciente e de acordo com as condições estabelecidas pela Fundação Hospitalar do Município de Varginha, no que tange a escolha da solução para a presente contratação, as condições elencadas no Termo de Referência e demais documentos relacionados à presente Intenção de Registro de Preços.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6.2. O Órgão declara estar ciente das responsabilidades do ente participante, elencadas na Lei nº 14.133/21, </w:t>
      </w:r>
      <w:bookmarkStart w:id="0" w:name="__DdeLink__49230_299924257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Decreto Municipal nº 11.595/23</w:t>
      </w:r>
      <w:bookmarkEnd w:id="0"/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e Decreto Municipal nº 11.598/23.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Varginha,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kern w:val="0"/>
          <w:sz w:val="24"/>
          <w:szCs w:val="24"/>
          <w:shd w:fill="FFFFFF" w:val="clear"/>
          <w:lang w:val="pt-BR" w:eastAsia="zh-CN" w:bidi="ar-SA"/>
        </w:rPr>
        <w:t>xxxxx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2026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Nome e assinatura do responsável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Cargo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Órgão </w:t>
      </w:r>
    </w:p>
    <w:sectPr>
      <w:headerReference w:type="default" r:id="rId2"/>
      <w:footerReference w:type="default" r:id="rId3"/>
      <w:type w:val="nextPage"/>
      <w:pgSz w:w="11906" w:h="16838"/>
      <w:pgMar w:left="1701" w:right="1134" w:gutter="0" w:header="0" w:top="1531" w:footer="283" w:bottom="137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DejaVu Sans Mono">
    <w:altName w:val="Yu Gothic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swiss"/>
    <w:pitch w:val="default"/>
  </w:font>
  <w:font w:name="ARIAL">
    <w:charset w:val="01"/>
    <w:family w:val="roman"/>
    <w:pitch w:val="variable"/>
  </w:font>
  <w:font w:name="arial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jc w:val="center"/>
      <w:rPr>
        <w:rFonts w:ascii="Arial" w:hAnsi="Arial"/>
      </w:rPr>
    </w:pPr>
    <w:r>
      <w:rPr>
        <w:rFonts w:ascii="Arial" w:hAnsi="Arial"/>
      </w:rPr>
      <w:t>_______________________________________________________________________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Rua Presidente Tancredo Neves, 500 – Bom Pastor – Varginha MG – 37.014-460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CNPJ 19.110.162/0001-00 – Inscrição Estadual Isento – 35 3606.3591/3592/3593/3594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tabs>
        <w:tab w:val="left" w:pos="2031" w:leader="none"/>
        <w:tab w:val="center" w:pos="4252" w:leader="none"/>
        <w:tab w:val="right" w:pos="8504" w:leader="none"/>
      </w:tabs>
      <w:ind w:left="0" w:right="0" w:hanging="1134"/>
      <w:rPr/>
    </w:pPr>
    <w:r>
      <w:rPr/>
      <w:drawing>
        <wp:inline distT="0" distB="0" distL="0" distR="0">
          <wp:extent cx="7229475" cy="1365250"/>
          <wp:effectExtent l="0" t="0" r="0" b="0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47" t="-1763" r="-347" b="-1763"/>
                  <a:stretch>
                    <a:fillRect/>
                  </a:stretch>
                </pic:blipFill>
                <pic:spPr bwMode="auto">
                  <a:xfrm>
                    <a:off x="0" y="0"/>
                    <a:ext cx="7229475" cy="1365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1" distT="0" distB="0" distL="0" distR="0" simplePos="0" locked="0" layoutInCell="0" allowOverlap="1" relativeHeight="4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3201670" cy="3201670"/>
          <wp:effectExtent l="0" t="0" r="0" b="0"/>
          <wp:wrapNone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779" t="-779" r="-779" b="-779"/>
                  <a:stretch>
                    <a:fillRect/>
                  </a:stretch>
                </pic:blipFill>
                <pic:spPr bwMode="auto">
                  <a:xfrm>
                    <a:off x="0" y="0"/>
                    <a:ext cx="3201670" cy="320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;Calibri"/>
      <w:color w:val="00000A"/>
      <w:kern w:val="0"/>
      <w:sz w:val="22"/>
      <w:szCs w:val="22"/>
      <w:lang w:val="pt-BR" w:eastAsia="zh-CN" w:bidi="ar-SA"/>
    </w:rPr>
  </w:style>
  <w:style w:type="paragraph" w:styleId="Ttulo6">
    <w:name w:val="Heading 6"/>
    <w:basedOn w:val="Normal"/>
    <w:next w:val="Normal"/>
    <w:qFormat/>
    <w:pPr>
      <w:keepNext w:val="true"/>
      <w:ind w:left="0" w:right="0" w:hanging="0"/>
      <w:jc w:val="center"/>
      <w:outlineLvl w:val="5"/>
    </w:pPr>
    <w:rPr>
      <w:b/>
      <w:sz w:val="24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Fontepargpadro">
    <w:name w:val="Fonte parág. padrão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DefaultParagraphFont">
    <w:name w:val="Default Paragraph Font"/>
    <w:qFormat/>
    <w:rPr/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TextodebaloChar">
    <w:name w:val="Texto de balão Char"/>
    <w:qFormat/>
    <w:rPr>
      <w:rFonts w:ascii="Tahoma" w:hAnsi="Tahoma" w:cs="Tahoma"/>
      <w:sz w:val="16"/>
      <w:szCs w:val="16"/>
    </w:rPr>
  </w:style>
  <w:style w:type="character" w:styleId="WWFontepargpadro1111">
    <w:name w:val="WW-Fonte parág. padrão1111"/>
    <w:qFormat/>
    <w:rPr/>
  </w:style>
  <w:style w:type="character" w:styleId="LinkdaInternet">
    <w:name w:val="Hyperlink"/>
    <w:basedOn w:val="WWFontepargpadro1111"/>
    <w:rPr>
      <w:color w:val="0000FF"/>
      <w:u w:val="single"/>
    </w:rPr>
  </w:style>
  <w:style w:type="character" w:styleId="Teletipo">
    <w:name w:val="Teletipo"/>
    <w:qFormat/>
    <w:rPr>
      <w:rFonts w:ascii="DejaVu Sans Mono;Yu Gothic" w:hAnsi="DejaVu Sans Mono;Yu Gothic" w:eastAsia="DejaVu Sans Mono;Yu Gothic" w:cs="DejaVu Sans Mono;Yu Gothic"/>
    </w:rPr>
  </w:style>
  <w:style w:type="character" w:styleId="WW8Num5z0">
    <w:name w:val="WW8Num5z0"/>
    <w:qFormat/>
    <w:rPr>
      <w:rFonts w:ascii="Arial" w:hAnsi="Arial" w:cs="Arial"/>
    </w:rPr>
  </w:style>
  <w:style w:type="character" w:styleId="WW8Num6z0">
    <w:name w:val="WW8Num6z0"/>
    <w:qFormat/>
    <w:rPr>
      <w:rFonts w:ascii="Arial" w:hAnsi="Arial" w:cs="Arial"/>
      <w:b w:val="false"/>
      <w:bCs w:val="false"/>
      <w:i w:val="false"/>
      <w:iCs w:val="false"/>
      <w:sz w:val="24"/>
      <w:szCs w:val="24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DejaVu Sans" w:cs="DejaVu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FreeSans;Calib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;Calib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;Calibri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Liberation Sans;Arial" w:hAnsi="Liberation Sans;Arial" w:eastAsia="DejaVu Sans" w:cs="FreeSans;Calibri"/>
      <w:sz w:val="28"/>
      <w:szCs w:val="2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istParagraph">
    <w:name w:val="List Paragraph"/>
    <w:basedOn w:val="Normal"/>
    <w:qFormat/>
    <w:pPr>
      <w:suppressAutoHyphens w:val="true"/>
      <w:ind w:left="720" w:right="0" w:hanging="0"/>
    </w:pPr>
    <w:rPr/>
  </w:style>
  <w:style w:type="paragraph" w:styleId="LONormal">
    <w:name w:val="LO-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DejaVu Sans"/>
      <w:color w:val="auto"/>
      <w:kern w:val="0"/>
      <w:sz w:val="20"/>
      <w:szCs w:val="22"/>
      <w:lang w:val="pt-BR" w:eastAsia="en-US" w:bidi="ar-SA"/>
    </w:rPr>
  </w:style>
  <w:style w:type="numbering" w:styleId="WW8Num1">
    <w:name w:val="WW8Num1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2771</TotalTime>
  <Application>LibreOffice/7.4.7.2$Linux_X86_64 LibreOffice_project/40$Build-2</Application>
  <AppVersion>15.0000</AppVersion>
  <Pages>3</Pages>
  <Words>548</Words>
  <Characters>3281</Characters>
  <CharactersWithSpaces>3790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2021-11-09T13:22:00Z</dcterms:created>
  <dc:creator>Odillon</dc:creator>
  <dc:description/>
  <dc:language>pt-BR</dc:language>
  <cp:lastModifiedBy/>
  <cp:lastPrinted>1995-11-21T17:41:00Z</cp:lastPrinted>
  <dcterms:modified xsi:type="dcterms:W3CDTF">2026-03-13T13:51:40Z</dcterms:modified>
  <cp:revision>564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