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singl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INTENÇÃO DE REGISTRO DE PREÇOS Nº 051/2025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eastAsia="Calibri" w:cs="Calibri"/>
          <w:color w:val="00000A"/>
          <w:sz w:val="16"/>
          <w:szCs w:val="20"/>
          <w:lang w:val="pt-BR" w:eastAsia="zxx" w:bidi="ar-SA"/>
        </w:rPr>
      </w:pPr>
      <w:r>
        <w:rPr>
          <w:rFonts w:eastAsia="Calibri" w:cs="Calibri"/>
          <w:color w:val="00000A"/>
          <w:sz w:val="16"/>
          <w:szCs w:val="20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SOLICITAÇÃO DE PARTICIPAÇÃO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color w:val="00000A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ar-SA"/>
        </w:rPr>
        <w:t>1. OBJETO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>
        <w:rPr>
          <w:rFonts w:eastAsia="Times New Roman" w:cs="Arial"/>
          <w:color w:val="000000"/>
          <w:sz w:val="24"/>
          <w:szCs w:val="24"/>
          <w:lang w:eastAsia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ar-SA" w:bidi="ar-SA"/>
        </w:rPr>
        <w:t xml:space="preserve">1.1. Constitui objeto deste instrumento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pt-BR" w:eastAsia="ar-SA" w:bidi="ar-SA"/>
        </w:rPr>
        <w:t>a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ar-SA" w:bidi="ar-SA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ar-SA" w:bidi="ar-SA"/>
        </w:rPr>
        <w:t xml:space="preserve">AQUISIÇÃO 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highlight w:val="white"/>
          <w:u w:val="none"/>
          <w:lang w:val="pt-BR" w:eastAsia="pt-BR" w:bidi="ar-SA"/>
        </w:rPr>
        <w:t>DE SACOS PARA LIXO E COLETA DE RESÍDUOS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highlight w:val="white"/>
          <w:lang w:val="pt-BR" w:eastAsia="ar-SA" w:bidi="ar-SA"/>
        </w:rPr>
        <w:t xml:space="preserve">,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via Sistema de Registro de Preços,</w:t>
      </w: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 xml:space="preserve"> para atendimento aos Órgãos da Administração Direta e Indireta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>1.2. Estima-se a aquisição dos seguintes itens e respectivas quantidades: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tbl>
      <w:tblPr>
        <w:tblW w:w="9240" w:type="dxa"/>
        <w:jc w:val="left"/>
        <w:tblInd w:w="10" w:type="dxa"/>
        <w:tblLayout w:type="fixed"/>
        <w:tblCellMar>
          <w:top w:w="0" w:type="dxa"/>
          <w:left w:w="2" w:type="dxa"/>
          <w:bottom w:w="0" w:type="dxa"/>
          <w:right w:w="65" w:type="dxa"/>
        </w:tblCellMar>
      </w:tblPr>
      <w:tblGrid>
        <w:gridCol w:w="667"/>
        <w:gridCol w:w="4025"/>
        <w:gridCol w:w="1690"/>
        <w:gridCol w:w="1459"/>
        <w:gridCol w:w="1399"/>
      </w:tblGrid>
      <w:tr>
        <w:trPr/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Item</w:t>
            </w:r>
            <w:r>
              <w:rPr>
                <w:rFonts w:eastAsia="Times New Roman" w:cs="Arial" w:ascii="Arial" w:hAnsi="Arial"/>
                <w:b/>
                <w:bCs/>
                <w:color w:val="FF3333"/>
                <w:sz w:val="22"/>
                <w:szCs w:val="22"/>
              </w:rPr>
              <w:t>*</w:t>
            </w:r>
          </w:p>
        </w:tc>
        <w:tc>
          <w:tcPr>
            <w:tcW w:w="4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 para 12 meses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unit.</w:t>
            </w:r>
            <w:r>
              <w:rPr>
                <w:rFonts w:ascii="Arial" w:hAnsi="Arial"/>
                <w:b/>
                <w:bCs/>
                <w:color w:val="FF3333"/>
                <w:sz w:val="22"/>
                <w:szCs w:val="22"/>
              </w:rPr>
              <w:t>**</w:t>
            </w:r>
          </w:p>
        </w:tc>
        <w:tc>
          <w:tcPr>
            <w:tcW w:w="1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</w:tc>
      </w:tr>
      <w:tr>
        <w:trPr>
          <w:trHeight w:val="1437" w:hRule="atLeast"/>
        </w:trPr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</w:rPr>
            </w:r>
          </w:p>
        </w:tc>
        <w:tc>
          <w:tcPr>
            <w:tcW w:w="4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Style w:val="Fontepargpadro"/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r>
          </w:p>
        </w:tc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r>
          </w:p>
        </w:tc>
        <w:tc>
          <w:tcPr>
            <w:tcW w:w="1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408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Style w:val="LinkdaInternet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 Preencher o número do item conforme sequencial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** Os valores unitários deverão ser preenchidos de acordo com os valores informados no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cs="arial" w:ascii="arial" w:hAnsi="arial"/>
          <w:color w:val="FF3333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2. CONDIÇÕES GERAIS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6"/>
          <w:szCs w:val="26"/>
        </w:rPr>
      </w:pPr>
      <w:r>
        <w:rPr>
          <w:rFonts w:cs="arial" w:ascii="arial" w:hAnsi="arial"/>
          <w:color w:val="FF3333"/>
          <w:sz w:val="26"/>
          <w:szCs w:val="26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2.1. A contratação se dará em conformidade do disposto no Art. 29 da Lei Federal nº 14.133 de 01 de abril de 2021, Art. 122 do </w:t>
      </w:r>
      <w:bookmarkStart w:id="0" w:name="__DdeLink__59896_2999242570"/>
      <w:r>
        <w:rPr>
          <w:rFonts w:cs="arial" w:ascii="Arial" w:hAnsi="Arial"/>
          <w:color w:val="000000"/>
          <w:sz w:val="24"/>
          <w:szCs w:val="24"/>
          <w:shd w:fill="FFFFFF" w:val="clear"/>
        </w:rPr>
        <w:t>Decreto Municipal nº 11.595/2023</w:t>
      </w:r>
      <w:bookmarkEnd w:id="0"/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 Decreto Municipal nº 11.598/2023, bem como demais disposições legais aplicáveis à espécie.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000000"/>
          <w:sz w:val="26"/>
          <w:szCs w:val="26"/>
          <w:highlight w:val="white"/>
        </w:rPr>
      </w:pPr>
      <w:r>
        <w:rPr>
          <w:rFonts w:cs="arial" w:ascii="Arial" w:hAnsi="Arial"/>
          <w:color w:val="000000"/>
          <w:sz w:val="26"/>
          <w:szCs w:val="26"/>
          <w:highlight w:val="white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  <w:shd w:fill="FFFFFF" w:val="clear"/>
          <w:lang w:val="pt-BR" w:eastAsia="zh-CN" w:bidi="ar-SA"/>
        </w:rPr>
        <w:t xml:space="preserve">2.2. 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O prazo de início da contratação dar-se-á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 xml:space="preserve"> </w:t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a partir de 23/04/2026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2.3. 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zxx" w:eastAsia="pt-BR" w:bidi="zxx"/>
        </w:rPr>
        <w:t>A Contratada deverá obedecer rigorosamente às normas de higiene para fabricação, armazenamento e transporte dos sacos para lixo.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Arial Unicode MS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zxx" w:eastAsia="zxx" w:bidi="zxx"/>
        </w:rPr>
      </w:pPr>
      <w:r>
        <w:rPr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zxx" w:eastAsia="zxx" w:bidi="zxx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zxx" w:eastAsia="zxx" w:bidi="zxx"/>
        </w:rPr>
        <w:t xml:space="preserve">2.4.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 xml:space="preserve">O prazo para entrega dos itens será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>10 (dez) dias corridos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 xml:space="preserve"> após emissão da Ordem de Compra.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</w:pP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</w:pP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>2.5. Os materiais deverão ser entregues nas quantidades constantes em cada solicitação de fornecimento, que será formalizada através da Ordem de Compra/Autorização de Fornecimento.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i w:val="false"/>
          <w:i w:val="false"/>
          <w:iCs w:val="false"/>
          <w:color w:val="00000A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i w:val="false"/>
          <w:iCs w:val="false"/>
          <w:color w:val="00000A"/>
          <w:sz w:val="24"/>
          <w:szCs w:val="24"/>
          <w:lang w:val="pt-BR" w:eastAsia="pt-BR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A"/>
          <w:sz w:val="24"/>
          <w:szCs w:val="24"/>
          <w:shd w:fill="FFFFFF" w:val="clear"/>
          <w:lang w:val="pt-BR" w:eastAsia="zxx" w:bidi="ar-SA"/>
        </w:rPr>
        <w:t xml:space="preserve">2.6. </w:t>
      </w: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A"/>
          <w:sz w:val="24"/>
          <w:szCs w:val="24"/>
          <w:shd w:fill="FFFFFF" w:val="clear"/>
          <w:lang w:val="pt-BR" w:eastAsia="zxx" w:bidi="ar-SA"/>
        </w:rPr>
        <w:t xml:space="preserve"> </w:t>
      </w:r>
      <w:r>
        <w:rPr>
          <w:rStyle w:val="Teletip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Os materiais deverão ser entregues em embalagens contendo a data, número do lote de fabricação e outras informações de acordo com a legislação pertinente.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18"/>
          <w:szCs w:val="18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18"/>
          <w:szCs w:val="18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h-CN" w:bidi="ar-SA"/>
        </w:rPr>
        <w:t>2.7. Os materiais deverão ser entregues … (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shd w:fill="FFFFFF" w:val="clear"/>
          <w:lang w:val="pt-BR" w:eastAsia="zh-CN" w:bidi="ar-SA"/>
        </w:rPr>
        <w:t>inserir endereço completo e horários de entrega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h-CN" w:bidi="ar-SA"/>
        </w:rPr>
        <w:t>), sem nenhum ônus para o Órgão.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  ADEQUAÇÃO ORÇAMENTÁRIA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</w:rPr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4.1. As despesas decorrentes da presente contratação correrão à conta de recursos específicos consignados na Lei Orçamentária Anual.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/>
          <w:color w:val="000000"/>
        </w:rPr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4.2. A contratação será atendida pela seguinte dotação: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Informar a dotação orçamentária disponível para a aquisição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/>
          <w:b/>
          <w:i w:val="false"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4.3. Eventual dotação relativa aos exercícios financeiros subsequentes será indicada após aprovação da Lei Orçamentária respectiva e liberação dos créditos correspondentes.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 GESTÃO E FISCALIZAÇÃO CONTRATUAL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5.1. A gestão da contratação será efetuada pelo(a) Sr(a) …. , bem como o fiscalização técnica será realizada pelo(a) Sr(a). …., nomeados pela Portaria nº …/202 .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0000"/>
          <w:sz w:val="24"/>
          <w:szCs w:val="24"/>
          <w:shd w:fill="FFFFFF" w:val="clear"/>
          <w:lang w:val="pt-BR" w:eastAsia="zh-CN" w:bidi="ar-SA"/>
        </w:rPr>
        <w:t xml:space="preserve"> (informar os nomes e portaria de nomeação).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 CONDIÇÕES DE PAGAMENTO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6.1. Os pagamentos serão efetuados conforme …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(inserir condições de pagamento do Órgão).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6.2. Será considerada data do pagamento o dia em que constar depósito bancário para pagamento.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6.3. O pagamento será efetuad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o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com as devidas retenções tributárias previstas em legislação vigente.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7.  DISPOSIÇÕES FINAIS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7.1. O presente Órgão declara estar ciente e de acordo com as condições estabelecidas pela Fundação Hospitalar do Município de Varginha, no que tange a escolha da solução para a presente contratação, as condições elencadas no Termo de Referência e demais documentos relacionados à presente Intenção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7.2. O Órgão declara estar ciente das responsabilidades do ente participante, elencadas na Lei nº 14.133/21, </w:t>
      </w:r>
      <w:bookmarkStart w:id="1" w:name="__DdeLink__49230_299924257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Decreto Municipal nº 11.595/23</w:t>
      </w:r>
      <w:bookmarkEnd w:id="1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e Decreto Municipal nº 11.598/23.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Varginha,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xx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 xxxxx de 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Nome e assinatura do responsável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Cargo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Órgão 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531" w:footer="283" w:bottom="137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DejaVu Sans Mono">
    <w:altName w:val="Yu Gothic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" w:hAnsi="Arial"/>
      </w:rPr>
    </w:pPr>
    <w:r>
      <w:rPr>
        <w:rFonts w:ascii="Arial" w:hAnsi="Arial"/>
      </w:rPr>
      <w:t>_______________________________________________________________________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Rua Presidente Tancredo Neves, 500 – Bom Pastor – Varginha MG – 37.014-460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CNPJ 19.110.162/0001-00 – Inscrição Estadual Isento – 35 3606.3591/3592/3593/3594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2031" w:leader="none"/>
        <w:tab w:val="center" w:pos="4252" w:leader="none"/>
        <w:tab w:val="right" w:pos="8504" w:leader="none"/>
      </w:tabs>
      <w:ind w:left="0" w:right="0" w:hanging="1134"/>
      <w:rPr/>
    </w:pPr>
    <w:r>
      <w:rPr/>
      <w:drawing>
        <wp:inline distT="0" distB="0" distL="0" distR="0">
          <wp:extent cx="7229475" cy="13652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7" t="-1763" r="-347" b="-1763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201670" cy="320167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79" t="-779" r="-779" b="-779"/>
                  <a:stretch>
                    <a:fillRect/>
                  </a:stretch>
                </pic:blipFill>
                <pic:spPr bwMode="auto">
                  <a:xfrm>
                    <a:off x="0" y="0"/>
                    <a:ext cx="3201670" cy="320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;Calibri"/>
      <w:color w:val="00000A"/>
      <w:kern w:val="0"/>
      <w:sz w:val="22"/>
      <w:szCs w:val="22"/>
      <w:lang w:val="pt-BR" w:eastAsia="zh-CN" w:bidi="ar-SA"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ind w:left="0" w:right="0" w:hanging="0"/>
      <w:jc w:val="center"/>
      <w:outlineLvl w:val="5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WWFontepargpadro1111">
    <w:name w:val="WW-Fonte parág. padrão1111"/>
    <w:qFormat/>
    <w:rPr/>
  </w:style>
  <w:style w:type="character" w:styleId="LinkdaInternet">
    <w:name w:val="Hyperlink"/>
    <w:basedOn w:val="WWFontepargpadro1111"/>
    <w:rPr>
      <w:color w:val="0000FF"/>
      <w:u w:val="single"/>
    </w:rPr>
  </w:style>
  <w:style w:type="character" w:styleId="Teletipo">
    <w:name w:val="Teletipo"/>
    <w:qFormat/>
    <w:rPr>
      <w:rFonts w:ascii="DejaVu Sans Mono;Yu Gothic" w:hAnsi="DejaVu Sans Mono;Yu Gothic" w:eastAsia="DejaVu Sans Mono;Yu Gothic" w:cs="DejaVu Sans Mono;Yu Gothic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;Calib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Calibri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FreeSans;Calibr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true"/>
      <w:ind w:left="720" w:right="0" w:hanging="0"/>
    </w:pPr>
    <w:rPr/>
  </w:style>
  <w:style w:type="numbering" w:styleId="WW8Num1">
    <w:name w:val="WW8Num1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2670</TotalTime>
  <Application>LibreOffice/7.4.7.2$Linux_X86_64 LibreOffice_project/40$Build-2</Application>
  <AppVersion>15.0000</AppVersion>
  <Pages>2</Pages>
  <Words>512</Words>
  <Characters>2972</Characters>
  <CharactersWithSpaces>3453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2021-11-09T13:22:00Z</dcterms:created>
  <dc:creator>Odillon</dc:creator>
  <dc:description/>
  <dc:language>pt-BR</dc:language>
  <cp:lastModifiedBy/>
  <cp:lastPrinted>1995-11-21T17:41:00Z</cp:lastPrinted>
  <dcterms:modified xsi:type="dcterms:W3CDTF">2025-12-22T08:31:07Z</dcterms:modified>
  <cp:revision>461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