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singl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INTENÇÃO DE REGISTRO DE PREÇOS Nº 040/2025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eastAsia="Calibri" w:cs="Calibri"/>
          <w:color w:val="00000A"/>
          <w:sz w:val="16"/>
          <w:szCs w:val="20"/>
          <w:lang w:val="pt-BR" w:eastAsia="zxx" w:bidi="ar-SA"/>
        </w:rPr>
      </w:pPr>
      <w:r>
        <w:rPr>
          <w:rFonts w:eastAsia="Calibri" w:cs="Calibri"/>
          <w:color w:val="00000A"/>
          <w:sz w:val="16"/>
          <w:szCs w:val="20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SOLICITAÇÃO DE PARTICIPAÇÃO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color w:val="00000A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ar-SA"/>
        </w:rPr>
        <w:t>1. OBJETO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>
        <w:rPr>
          <w:rFonts w:eastAsia="Times New Roman" w:cs="Arial"/>
          <w:color w:val="000000"/>
          <w:sz w:val="24"/>
          <w:szCs w:val="24"/>
          <w:lang w:eastAsia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ar-SA" w:bidi="ar-SA"/>
        </w:rPr>
        <w:t xml:space="preserve">1.1. Constitui objeto deste instrumento a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highlight w:val="white"/>
          <w:u w:val="none"/>
          <w:shd w:fill="FFFFFF" w:val="clear"/>
          <w:em w:val="none"/>
          <w:lang w:val="pt-BR" w:eastAsia="pt-BR" w:bidi="ar-SA"/>
        </w:rPr>
        <w:t xml:space="preserve">aquisição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highlight w:val="white"/>
          <w:u w:val="none"/>
          <w:shd w:fill="auto" w:val="clear"/>
          <w:em w:val="none"/>
          <w:lang w:val="pt-BR" w:eastAsia="pt-BR" w:bidi="ar-SA"/>
        </w:rPr>
        <w:t xml:space="preserve">de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highlight w:val="white"/>
          <w:u w:val="none"/>
          <w:shd w:fill="FFFFFF" w:val="clear"/>
          <w:em w:val="none"/>
          <w:lang w:val="pt-BR" w:eastAsia="pt-BR" w:bidi="ar-SA"/>
        </w:rPr>
        <w:t>produtos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highlight w:val="white"/>
          <w:u w:val="none"/>
          <w:shd w:fill="FFFFFF" w:val="clear"/>
          <w:em w:val="none"/>
          <w:lang w:val="pt-BR" w:eastAsia="pt-BR" w:bidi="ar-SA"/>
        </w:rPr>
        <w:t xml:space="preserve"> de higiene e limpeza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, via Sistema de Registro de Preços,</w:t>
      </w: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 xml:space="preserve"> para atendimento aos Órgãos da Administração Direta e Indireta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>1.2. Estima-se a aquisição dos seguintes itens e respectivas quantidades: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tbl>
      <w:tblPr>
        <w:tblW w:w="9240" w:type="dxa"/>
        <w:jc w:val="left"/>
        <w:tblInd w:w="-22" w:type="dxa"/>
        <w:tblLayout w:type="fixed"/>
        <w:tblCellMar>
          <w:top w:w="0" w:type="dxa"/>
          <w:left w:w="2" w:type="dxa"/>
          <w:bottom w:w="0" w:type="dxa"/>
          <w:right w:w="57" w:type="dxa"/>
        </w:tblCellMar>
      </w:tblPr>
      <w:tblGrid>
        <w:gridCol w:w="667"/>
        <w:gridCol w:w="4012"/>
        <w:gridCol w:w="1679"/>
        <w:gridCol w:w="1459"/>
        <w:gridCol w:w="1423"/>
      </w:tblGrid>
      <w:tr>
        <w:trPr/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Item</w:t>
            </w:r>
            <w:r>
              <w:rPr>
                <w:rFonts w:eastAsia="Times New Roman" w:cs="Arial" w:ascii="Arial" w:hAnsi="Arial"/>
                <w:b/>
                <w:bCs/>
                <w:color w:val="FF3333"/>
                <w:sz w:val="22"/>
                <w:szCs w:val="22"/>
              </w:rPr>
              <w:t>*</w:t>
            </w:r>
          </w:p>
        </w:tc>
        <w:tc>
          <w:tcPr>
            <w:tcW w:w="4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 para 12 meses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unit.</w:t>
            </w:r>
            <w:r>
              <w:rPr>
                <w:rFonts w:ascii="Arial" w:hAnsi="Arial"/>
                <w:b/>
                <w:bCs/>
                <w:color w:val="FF3333"/>
                <w:sz w:val="22"/>
                <w:szCs w:val="22"/>
              </w:rPr>
              <w:t>**</w:t>
            </w:r>
          </w:p>
        </w:tc>
        <w:tc>
          <w:tcPr>
            <w:tcW w:w="1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</w:tc>
      </w:tr>
      <w:tr>
        <w:trPr>
          <w:trHeight w:val="1437" w:hRule="atLeast"/>
        </w:trPr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</w:rPr>
            </w:r>
          </w:p>
        </w:tc>
        <w:tc>
          <w:tcPr>
            <w:tcW w:w="4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Style w:val="Fontepargpadro"/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r>
          </w:p>
        </w:tc>
        <w:tc>
          <w:tcPr>
            <w:tcW w:w="1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r>
          </w:p>
        </w:tc>
        <w:tc>
          <w:tcPr>
            <w:tcW w:w="1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408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Style w:val="LinkdaInternet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 Preencher o número do item conforme sequencial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** Os valores unitários deverão ser preenchidos de acordo com os valores informados no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cs="arial" w:ascii="arial" w:hAnsi="arial"/>
          <w:color w:val="FF3333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Obs¹.: </w:t>
      </w:r>
      <w:r>
        <w:rPr>
          <w:rFonts w:cs="arial" w:ascii="arial" w:hAnsi="arial"/>
          <w:color w:val="000000"/>
          <w:sz w:val="24"/>
          <w:szCs w:val="24"/>
        </w:rPr>
        <w:t>A solicitação deverá ser cadastrada no sistema Betha, com os códigos constantes no(s) item(ns)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Obs².: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</w:rPr>
        <w:t>No momento do preenchimento da solicitação no sistema, deverá ser escolhido como órgão gerenciador a Fundação Hospitalar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6"/>
          <w:szCs w:val="26"/>
        </w:rPr>
      </w:pPr>
      <w:r>
        <w:rPr>
          <w:rFonts w:cs="arial" w:ascii="arial" w:hAnsi="arial"/>
          <w:color w:val="FF3333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2. CONDIÇÕES GERAIS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1"/>
          <w:szCs w:val="21"/>
        </w:rPr>
      </w:pPr>
      <w:r>
        <w:rPr>
          <w:rFonts w:cs="arial" w:ascii="arial" w:hAnsi="arial"/>
          <w:color w:val="FF3333"/>
          <w:sz w:val="21"/>
          <w:szCs w:val="21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2.1.</w:t>
      </w:r>
      <w:r>
        <w:rPr>
          <w:rFonts w:cs="arial" w:ascii="Arial" w:hAnsi="Arial"/>
          <w:color w:val="000000"/>
          <w:sz w:val="24"/>
          <w:szCs w:val="24"/>
          <w:shd w:fill="auto" w:val="clear"/>
        </w:rPr>
        <w:t xml:space="preserve"> </w:t>
      </w:r>
      <w:r>
        <w:rPr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 xml:space="preserve">O prazo de entrega dos insumos deverá ser de </w:t>
      </w:r>
      <w:r>
        <w:rPr>
          <w:rFonts w:eastAsia="Arial Unicode MS" w:cs="Arial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>10 (dez) dias</w:t>
      </w:r>
      <w:r>
        <w:rPr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 xml:space="preserve"> </w:t>
      </w:r>
      <w:r>
        <w:rPr>
          <w:rFonts w:eastAsia="Arial Unicode MS" w:cs="Arial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>corridos</w:t>
      </w:r>
      <w:r>
        <w:rPr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 xml:space="preserve">, após emissão da </w:t>
      </w:r>
      <w:r>
        <w:rPr>
          <w:rStyle w:val="Fontepargpadro"/>
          <w:rFonts w:eastAsia="Arial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pt-BR" w:bidi="ar-SA"/>
        </w:rPr>
        <w:t>Ordem de Compra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>/Autorização de Fornecimento.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Arial Unicode MS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</w:pPr>
      <w:r>
        <w:rPr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  <w:lang w:val="pt-BR" w:eastAsia="zh-CN" w:bidi="ar-SA"/>
        </w:rPr>
        <w:t xml:space="preserve">2.2.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 w:eastAsia="zxx" w:bidi="ar-SA"/>
        </w:rPr>
        <w:t xml:space="preserve">O prazo de início da contratação dar-se-á a partir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zxx" w:bidi="ar-SA"/>
        </w:rPr>
        <w:t>18/02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zxx" w:bidi="ar-SA"/>
        </w:rPr>
        <w:t>/2026.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  <w:t>2.3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.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Os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produtos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 deverão ser entregues nas quantidades constantes em cada solicitação de fornecimento, que será formalizada através da Ordem de Compra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/Autorização de Fornecimento.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zxx" w:eastAsia="zxx" w:bidi="zxx"/>
        </w:rPr>
        <w:t>2.4.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zxx" w:bidi="zxx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>Os insumos deverão ser entregues devidamente embalados, em embalagens originais,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66CC"/>
          <w:sz w:val="24"/>
          <w:szCs w:val="24"/>
          <w:u w:val="none"/>
          <w:shd w:fill="auto" w:val="clear"/>
          <w:lang w:val="zxx" w:eastAsia="pt-BR" w:bidi="zxx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 xml:space="preserve">contendo a data e o n.º do lote de fabricação, com prazo de validade mínima de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>12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 xml:space="preserve"> (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>doze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>) meses, contados da data de entrega, exceto àqueles cuja validade seja inferior, devendo neste caso, ter o prazo informado na proposta.</w:t>
      </w:r>
    </w:p>
    <w:p>
      <w:pPr>
        <w:pStyle w:val="Normal"/>
        <w:widowControl w:val="false"/>
        <w:tabs>
          <w:tab w:val="clear" w:pos="408"/>
          <w:tab w:val="left" w:pos="709" w:leader="none"/>
        </w:tabs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pt-BR" w:bidi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pt-BR" w:bidi="zxx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pt-BR" w:bidi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pt-BR" w:bidi="zxx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pt-BR" w:bidi="ar-SA"/>
        </w:rPr>
        <w:t>2.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5.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Os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>produtos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 deverão ser entregues...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FF3333"/>
          <w:sz w:val="24"/>
          <w:szCs w:val="24"/>
          <w:u w:val="none"/>
          <w:shd w:fill="auto" w:val="clear"/>
          <w:lang w:val="pt-BR" w:eastAsia="pt-BR" w:bidi="ar-SA"/>
        </w:rPr>
        <w:t>(informar local com endereço, dias e horário para a entrega)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>.</w:t>
      </w:r>
    </w:p>
    <w:p>
      <w:pPr>
        <w:pStyle w:val="Normal"/>
        <w:spacing w:before="0" w:after="0"/>
        <w:jc w:val="both"/>
        <w:rPr>
          <w:rStyle w:val="Fontepargpadro"/>
          <w:rFonts w:ascii="Arial" w:hAnsi="Arial" w:eastAsia="Times New Roman" w:cs="Arial"/>
          <w:color w:val="auto"/>
          <w:sz w:val="24"/>
          <w:szCs w:val="24"/>
          <w:highlight w:val="white"/>
        </w:rPr>
      </w:pPr>
      <w:r>
        <w:rPr>
          <w:rFonts w:eastAsia="Times New Roman" w:cs="Arial" w:ascii="Arial" w:hAnsi="Arial"/>
          <w:color w:val="auto"/>
          <w:sz w:val="24"/>
          <w:szCs w:val="24"/>
          <w:highlight w:val="white"/>
        </w:rPr>
      </w:r>
    </w:p>
    <w:p>
      <w:pPr>
        <w:pStyle w:val="Normal"/>
        <w:spacing w:before="0" w:after="0"/>
        <w:jc w:val="both"/>
        <w:rPr/>
      </w:pPr>
      <w:r>
        <w:rPr>
          <w:rStyle w:val="Fontepargpadro"/>
          <w:rFonts w:eastAsia="Times New Roman" w:cs="Arial" w:ascii="Arial" w:hAnsi="Arial"/>
          <w:color w:val="auto"/>
          <w:sz w:val="24"/>
          <w:szCs w:val="24"/>
          <w:highlight w:val="white"/>
        </w:rPr>
        <w:t>2</w:t>
      </w:r>
      <w:r>
        <w:rPr>
          <w:rFonts w:eastAsia="Times New Roman" w:cs="Arial" w:ascii="Arial" w:hAnsi="Arial"/>
          <w:color w:val="auto"/>
          <w:sz w:val="24"/>
          <w:szCs w:val="24"/>
          <w:highlight w:val="white"/>
        </w:rPr>
        <w:t xml:space="preserve">.6. </w:t>
      </w:r>
      <w:r>
        <w:rPr>
          <w:rFonts w:eastAsia="Times New Roman" w:cs="Arial" w:ascii="Arial" w:hAnsi="Arial"/>
          <w:color w:val="auto"/>
          <w:sz w:val="24"/>
          <w:szCs w:val="24"/>
          <w:highlight w:val="white"/>
          <w:lang w:eastAsia="pt-BR"/>
        </w:rPr>
        <w:t>A Contratada deverá p</w:t>
      </w:r>
      <w:r>
        <w:rPr>
          <w:rFonts w:eastAsia="Times New Roman" w:cs="ARIAL" w:ascii="Arial" w:hAnsi="Arial"/>
          <w:i w:val="false"/>
          <w:iCs w:val="false"/>
          <w:color w:val="00000A"/>
          <w:sz w:val="24"/>
          <w:szCs w:val="24"/>
          <w:highlight w:val="white"/>
          <w:u w:val="none"/>
          <w:lang w:val="pt-BR" w:eastAsia="zxx" w:bidi="ar-SA"/>
        </w:rPr>
        <w:t xml:space="preserve">roceder o transporte e descarga dos </w:t>
      </w:r>
      <w:r>
        <w:rPr>
          <w:rFonts w:eastAsia="Times New Roman" w:cs="ARIAL" w:ascii="Arial" w:hAnsi="Arial"/>
          <w:i w:val="false"/>
          <w:iCs w:val="false"/>
          <w:color w:val="00000A"/>
          <w:sz w:val="24"/>
          <w:szCs w:val="24"/>
          <w:highlight w:val="white"/>
          <w:u w:val="none"/>
          <w:lang w:val="pt-BR" w:eastAsia="zxx" w:bidi="ar-SA"/>
        </w:rPr>
        <w:t>materiais</w:t>
      </w:r>
      <w:r>
        <w:rPr>
          <w:rFonts w:eastAsia="Times New Roman" w:cs="ARIAL" w:ascii="Arial" w:hAnsi="Arial"/>
          <w:i w:val="false"/>
          <w:iCs w:val="false"/>
          <w:color w:val="00000A"/>
          <w:sz w:val="24"/>
          <w:szCs w:val="24"/>
          <w:highlight w:val="white"/>
          <w:u w:val="none"/>
          <w:lang w:val="pt-BR" w:eastAsia="zxx" w:bidi="ar-SA"/>
        </w:rPr>
        <w:t>, em estrita observância às normas pertinentes, bem como, acondicionando em recipiente adequado,</w:t>
      </w:r>
      <w:r>
        <w:rPr>
          <w:rFonts w:eastAsia="Times New Roman" w:cs="ARIAL" w:ascii="Arial" w:hAnsi="Arial"/>
          <w:i w:val="false"/>
          <w:iCs w:val="false"/>
          <w:color w:val="00000A"/>
          <w:sz w:val="24"/>
          <w:szCs w:val="24"/>
          <w:highlight w:val="white"/>
          <w:u w:val="none"/>
          <w:lang w:val="pt-BR" w:eastAsia="zxx" w:bidi="ar-SA"/>
        </w:rPr>
        <w:t xml:space="preserve"> </w:t>
      </w:r>
      <w:r>
        <w:rPr>
          <w:rFonts w:eastAsia="Times New Roman" w:cs="ARIAL" w:ascii="Arial" w:hAnsi="Arial"/>
          <w:i w:val="false"/>
          <w:iCs w:val="false"/>
          <w:color w:val="00000A"/>
          <w:sz w:val="24"/>
          <w:szCs w:val="24"/>
          <w:highlight w:val="white"/>
          <w:u w:val="none"/>
          <w:lang w:val="pt-BR" w:eastAsia="zxx" w:bidi="ar-SA"/>
        </w:rPr>
        <w:t xml:space="preserve">visando manter inalterada a sua integridade, respeitando as normas vigentes, </w:t>
      </w:r>
      <w:r>
        <w:rPr>
          <w:rFonts w:eastAsia="Times New Roman" w:cs="ARIAL" w:ascii="Arial" w:hAnsi="Arial"/>
          <w:i w:val="false"/>
          <w:iCs w:val="false"/>
          <w:color w:val="00000A"/>
          <w:sz w:val="24"/>
          <w:szCs w:val="24"/>
          <w:highlight w:val="white"/>
          <w:u w:val="none"/>
          <w:lang w:val="pt-BR" w:eastAsia="zxx" w:bidi="ar-SA"/>
        </w:rPr>
        <w:t xml:space="preserve">sem ônus para a </w:t>
      </w:r>
      <w:r>
        <w:rPr>
          <w:rFonts w:eastAsia="Times New Roman" w:cs="ARIAL" w:ascii="Arial" w:hAnsi="Arial"/>
          <w:i w:val="false"/>
          <w:iCs w:val="false"/>
          <w:color w:val="00000A"/>
          <w:sz w:val="24"/>
          <w:szCs w:val="24"/>
          <w:highlight w:val="white"/>
          <w:u w:val="none"/>
          <w:lang w:val="pt-BR" w:eastAsia="zxx" w:bidi="ar-SA"/>
        </w:rPr>
        <w:t>contratante.</w:t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2.7. </w:t>
      </w:r>
      <w:r>
        <w:rPr>
          <w:rStyle w:val="Fontepargpadro"/>
          <w:rFonts w:eastAsia="Times New Roman" w:cs="Arial" w:ascii="Arial" w:hAnsi="Arial"/>
          <w:color w:val="000000"/>
          <w:sz w:val="24"/>
          <w:szCs w:val="24"/>
          <w:shd w:fill="FFFFFF" w:val="clear"/>
          <w:lang w:val="pt-BR" w:eastAsia="pt-BR" w:bidi="ar-SA"/>
        </w:rPr>
        <w:t>A Contratada será obrigada a atender todos os pedidos efetuados durante a vigência da Ata de Registro de Preços.</w:t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 xml:space="preserve">2.8.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pt-BR" w:bidi="ar-SA"/>
        </w:rPr>
        <w:t>A empresa contratada deverá arcar com todas as despesas necessárias ao fornecimento, inclusive transportes, carga e descarga e impostos inerentes à comercialização.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2"/>
          <w:szCs w:val="22"/>
          <w:u w:val="none"/>
          <w:shd w:fill="FFFFFF" w:val="clear"/>
          <w:lang w:val="pt-BR" w:eastAsia="pt-BR" w:bidi="ar-SA"/>
        </w:rPr>
      </w:pPr>
      <w:r>
        <w:rPr/>
      </w:r>
    </w:p>
    <w:p>
      <w:pPr>
        <w:pStyle w:val="LONormal"/>
        <w:tabs>
          <w:tab w:val="clear" w:pos="408"/>
          <w:tab w:val="left" w:pos="709" w:leader="none"/>
          <w:tab w:val="left" w:pos="1270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textAlignment w:val="auto"/>
        <w:rPr>
          <w:rFonts w:ascii="arial" w:hAnsi="arial"/>
          <w:sz w:val="24"/>
          <w:szCs w:val="24"/>
        </w:rPr>
      </w:pP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 xml:space="preserve">2.9. Os materiais poderão ser rejeitados, no todo ou em parte, quando em desacordo com as especificações constantes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 xml:space="preserve">no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 xml:space="preserve">Termo de Referência e na proposta, devendo ser substituído no prazo de </w:t>
      </w:r>
      <w:r>
        <w:rPr>
          <w:rStyle w:val="Teletipo"/>
          <w:rFonts w:eastAsia="Calibri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en-US" w:bidi="ar-SA"/>
        </w:rPr>
        <w:t>10</w:t>
      </w:r>
      <w:r>
        <w:rPr>
          <w:rStyle w:val="Teletipo"/>
          <w:rFonts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 xml:space="preserve"> (</w:t>
      </w:r>
      <w:r>
        <w:rPr>
          <w:rStyle w:val="Teletipo"/>
          <w:rFonts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>dez</w:t>
      </w:r>
      <w:r>
        <w:rPr>
          <w:rStyle w:val="Teletipo"/>
          <w:rFonts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 xml:space="preserve">) dias </w:t>
      </w:r>
      <w:r>
        <w:rPr>
          <w:rStyle w:val="Teletipo"/>
          <w:rFonts w:eastAsia="Calibri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en-US" w:bidi="ar-SA"/>
        </w:rPr>
        <w:t>corridos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>, a contar da notificação da contratada, às suas custas, sem prejuízo da aplicação das penalidades.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Teletipo"/>
          <w:rFonts w:ascii="Arial" w:hAnsi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 ADEQUAÇÃO ORÇAMENTÁRIA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3.1. As despesas decorrentes da presente contratação correrão à conta de recursos específicos consignados na Lei Orçamentária Anual.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3.2. A contratação será atendida pela seguinte dotação: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Informar a dotação orçamentária disponível para a aquisição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/>
          <w:b/>
          <w:i w:val="false"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3.3. Eventual dotação relativa aos exercícios financeiros subsequentes será indicada após aprovação da Lei Orçamentária respectiva e liberação dos créditos correspondentes.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ab/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Obs.: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Deverá ser encaminhado o Documento de Disponibilidade Orçamentária devidamente assinado.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 GESTÃO E FISCALIZAÇÃO CONTRATUAL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4.1. A gestão da contratação será efetuada pelo(a) Sr(a) …. , bem como a fiscalização técnica será realizada pelo(a) Sr(a). …., nomeados pela Portaria nº …/202 .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0000"/>
          <w:sz w:val="24"/>
          <w:szCs w:val="24"/>
          <w:shd w:fill="FFFFFF" w:val="clear"/>
          <w:lang w:val="pt-BR" w:eastAsia="zh-CN" w:bidi="ar-SA"/>
        </w:rPr>
        <w:t xml:space="preserve"> (informar os nomes e portaria de nomeação).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 CONDIÇÕES DE PAGAMENTO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5.1. Os pagamentos serão efetuados conforme …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(inserir condições de pagamento do Órgão).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5.2. Será considerada data do pagamento o dia em que constar depósito bancário para pagamento.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5.3. O pagamento será efetuada com as devidas retenções tributárias previstas em legislação vigente.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  DISPOSIÇÕES FINAIS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6.1. O presente Órgão declara estar ciente e de acordo com as condições estabelecidas pela Fundação Hospitalar do Município de Varginha, no que tange a escolha da solução para a presente contratação, as condições elencadas no Termo de Referência e demais documentos relacionados à presente Intenção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6.2. O Órgão declara estar ciente das responsabilidades do ente participante, elencadas na Lei nº 14.133/21, </w:t>
      </w:r>
      <w:bookmarkStart w:id="0" w:name="__DdeLink__49230_299924257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Decreto Municipal nº 11.595/23</w:t>
      </w:r>
      <w:bookmarkEnd w:id="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e Decreto Municipal nº 11.598/23.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Varginha,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xx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 xxxxx de 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Nome e assinatura do responsável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Cargo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Órgão 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531" w:footer="283" w:bottom="137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DejaVu Sans Mono">
    <w:altName w:val="Yu Gothic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" w:hAnsi="Arial"/>
      </w:rPr>
    </w:pPr>
    <w:r>
      <w:rPr>
        <w:rFonts w:ascii="Arial" w:hAnsi="Arial"/>
      </w:rPr>
      <w:t>_______________________________________________________________________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Rua Presidente Tancredo Neves, 500 – Bom Pastor – Varginha MG – 37.014-460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CNPJ 19.110.162/0001-00 – Inscrição Estadual Isento – 35 3606.3591/3592/3593/3594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2031" w:leader="none"/>
        <w:tab w:val="center" w:pos="4252" w:leader="none"/>
        <w:tab w:val="right" w:pos="8504" w:leader="none"/>
      </w:tabs>
      <w:ind w:left="0" w:right="0" w:hanging="1134"/>
      <w:rPr/>
    </w:pPr>
    <w:r>
      <w:rPr/>
      <w:drawing>
        <wp:inline distT="0" distB="0" distL="0" distR="0">
          <wp:extent cx="7229475" cy="13652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7" t="-1763" r="-347" b="-1763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201670" cy="320167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79" t="-779" r="-779" b="-779"/>
                  <a:stretch>
                    <a:fillRect/>
                  </a:stretch>
                </pic:blipFill>
                <pic:spPr bwMode="auto">
                  <a:xfrm>
                    <a:off x="0" y="0"/>
                    <a:ext cx="3201670" cy="320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;Calibri"/>
      <w:color w:val="00000A"/>
      <w:kern w:val="0"/>
      <w:sz w:val="22"/>
      <w:szCs w:val="22"/>
      <w:lang w:val="pt-BR" w:eastAsia="zh-CN" w:bidi="ar-SA"/>
    </w:rPr>
  </w:style>
  <w:style w:type="paragraph" w:styleId="Ttulo6">
    <w:name w:val="Heading 6"/>
    <w:basedOn w:val="Normal"/>
    <w:next w:val="Normal"/>
    <w:qFormat/>
    <w:pPr>
      <w:keepNext w:val="true"/>
      <w:ind w:left="0" w:right="0" w:hanging="0"/>
      <w:jc w:val="center"/>
      <w:outlineLvl w:val="5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WWFontepargpadro1111">
    <w:name w:val="WW-Fonte parág. padrão1111"/>
    <w:qFormat/>
    <w:rPr/>
  </w:style>
  <w:style w:type="character" w:styleId="LinkdaInternet">
    <w:name w:val="Hyperlink"/>
    <w:basedOn w:val="WWFontepargpadro1111"/>
    <w:rPr>
      <w:color w:val="0000FF"/>
      <w:u w:val="single"/>
    </w:rPr>
  </w:style>
  <w:style w:type="character" w:styleId="Teletipo">
    <w:name w:val="Teletipo"/>
    <w:qFormat/>
    <w:rPr>
      <w:rFonts w:ascii="DejaVu Sans Mono;Yu Gothic" w:hAnsi="DejaVu Sans Mono;Yu Gothic" w:eastAsia="DejaVu Sans Mono;Yu Gothic" w:cs="DejaVu Sans Mono;Yu Gothic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;Calib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Calibri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FreeSans;Calibr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true"/>
      <w:ind w:left="720" w:right="0" w:hanging="0"/>
    </w:pPr>
    <w:rPr/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DejaVu Sans"/>
      <w:color w:val="auto"/>
      <w:kern w:val="0"/>
      <w:sz w:val="20"/>
      <w:szCs w:val="22"/>
      <w:lang w:val="pt-BR" w:eastAsia="en-US" w:bidi="ar-SA"/>
    </w:rPr>
  </w:style>
  <w:style w:type="numbering" w:styleId="WW8Num1">
    <w:name w:val="WW8Num1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2739</TotalTime>
  <Application>LibreOffice/7.4.7.2$Linux_X86_64 LibreOffice_project/40$Build-2</Application>
  <AppVersion>15.0000</AppVersion>
  <Pages>3</Pages>
  <Words>659</Words>
  <Characters>3849</Characters>
  <CharactersWithSpaces>4466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2021-11-09T13:22:00Z</dcterms:created>
  <dc:creator>Odillon</dc:creator>
  <dc:description/>
  <dc:language>pt-BR</dc:language>
  <cp:lastModifiedBy/>
  <cp:lastPrinted>1995-11-21T17:41:00Z</cp:lastPrinted>
  <dcterms:modified xsi:type="dcterms:W3CDTF">2025-11-14T16:12:09Z</dcterms:modified>
  <cp:revision>543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