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single"/>
          <w:lang w:val="pt-BR" w:eastAsia="zxx" w:bidi="ar-SA"/>
        </w:rPr>
        <w:t>INTENÇÃO DE REGISTRO DE PREÇOS Nº 030/2025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eastAsia="Calibri" w:cs="Calibri"/>
          <w:color w:val="00000A"/>
          <w:sz w:val="16"/>
          <w:szCs w:val="20"/>
          <w:lang w:val="pt-BR" w:eastAsia="zxx" w:bidi="ar-SA"/>
        </w:rPr>
      </w:pPr>
      <w:r>
        <w:rPr>
          <w:rFonts w:eastAsia="Calibri" w:cs="Calibri"/>
          <w:color w:val="00000A"/>
          <w:sz w:val="16"/>
          <w:szCs w:val="20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u w:val="none"/>
        </w:rPr>
      </w:pPr>
      <w:r>
        <w:rPr>
          <w:rFonts w:eastAsia="Times New Roman" w:cs="arial" w:ascii="arial" w:hAnsi="arial"/>
          <w:b/>
          <w:bCs/>
          <w:color w:val="00000A"/>
          <w:sz w:val="24"/>
          <w:szCs w:val="24"/>
          <w:u w:val="none"/>
          <w:lang w:val="pt-BR" w:eastAsia="zxx" w:bidi="ar-SA"/>
        </w:rPr>
        <w:t>SOLICITAÇÃO DE PARTICIPAÇÃO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eastAsia="Times New Roman" w:cs="arial"/>
          <w:color w:val="00000A"/>
          <w:sz w:val="24"/>
          <w:szCs w:val="24"/>
          <w:lang w:val="pt-BR" w:eastAsia="zxx" w:bidi="ar-SA"/>
        </w:rPr>
      </w:pPr>
      <w:r>
        <w:rPr>
          <w:rFonts w:eastAsia="Times New Roman" w:cs="arial" w:ascii="arial" w:hAnsi="arial"/>
          <w:color w:val="00000A"/>
          <w:sz w:val="24"/>
          <w:szCs w:val="24"/>
          <w:lang w:val="pt-BR" w:eastAsia="zxx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b/>
          <w:b/>
          <w:bCs/>
          <w:color w:val="000000"/>
          <w:sz w:val="24"/>
          <w:szCs w:val="24"/>
          <w:lang w:eastAsia="ar-SA"/>
        </w:rPr>
      </w:pPr>
      <w:r>
        <w:rPr>
          <w:rFonts w:eastAsia="Times New Roman" w:cs="Arial" w:ascii="Arial" w:hAnsi="Arial"/>
          <w:b/>
          <w:bCs/>
          <w:color w:val="000000"/>
          <w:sz w:val="24"/>
          <w:szCs w:val="24"/>
          <w:lang w:eastAsia="ar-SA"/>
        </w:rPr>
        <w:t>1. OBJETO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eastAsia="Times New Roman" w:cs="Arial"/>
          <w:color w:val="000000"/>
          <w:sz w:val="24"/>
          <w:szCs w:val="24"/>
          <w:lang w:eastAsia="ar-SA"/>
        </w:rPr>
      </w:pPr>
      <w:r>
        <w:rPr>
          <w:rFonts w:eastAsia="Times New Roman" w:cs="Arial"/>
          <w:color w:val="000000"/>
          <w:sz w:val="24"/>
          <w:szCs w:val="24"/>
          <w:lang w:eastAsia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Times New Roman" w:cs="Arial" w:ascii="Arial" w:hAnsi="Arial"/>
          <w:color w:val="000000"/>
          <w:sz w:val="24"/>
          <w:szCs w:val="24"/>
          <w:lang w:val="pt-BR" w:eastAsia="ar-SA" w:bidi="ar-SA"/>
        </w:rPr>
        <w:t xml:space="preserve">1.1. Constitui objeto deste instrumento a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lang w:val="pt-BR" w:eastAsia="ar-SA" w:bidi="ar-SA"/>
        </w:rPr>
        <w:t>AQUISIÇÃO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lang w:val="pt-BR" w:eastAsia="ar-SA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DE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MANTA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S 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TÉRMICA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E PERNEIRA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S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DE COMPRESSÃO, COM COMODATO D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>E</w:t>
      </w:r>
      <w:r>
        <w:rPr>
          <w:rStyle w:val="Fontepargpadro"/>
          <w:rFonts w:eastAsia="Times New Roman" w:cs="Arial" w:ascii="Arial" w:hAnsi="Arial"/>
          <w:b/>
          <w:bCs/>
          <w:iCs/>
          <w:color w:val="000000"/>
          <w:sz w:val="24"/>
          <w:szCs w:val="24"/>
          <w:highlight w:val="white"/>
          <w:shd w:fill="FFFFFF" w:val="clear"/>
          <w:lang w:val="pt-BR" w:eastAsia="pt-BR" w:bidi="ar-SA"/>
        </w:rPr>
        <w:t xml:space="preserve"> EQUIPAMENTOS</w:t>
      </w:r>
      <w:r>
        <w:rPr>
          <w:rFonts w:eastAsia="Times New Roman" w:cs="Arial" w:ascii="Arial" w:hAnsi="Arial"/>
          <w:b/>
          <w:bCs/>
          <w:color w:val="000000"/>
          <w:sz w:val="24"/>
          <w:szCs w:val="24"/>
          <w:highlight w:val="white"/>
          <w:lang w:val="pt-BR" w:eastAsia="ar-SA" w:bidi="ar-SA"/>
        </w:rPr>
        <w:t xml:space="preserve">, </w:t>
      </w:r>
      <w:r>
        <w:rPr>
          <w:rFonts w:eastAsia="Times New Roman" w:cs="Arial" w:ascii="Arial" w:hAnsi="Arial"/>
          <w:b w:val="false"/>
          <w:bCs w:val="false"/>
          <w:color w:val="000000"/>
          <w:sz w:val="24"/>
          <w:szCs w:val="24"/>
          <w:highlight w:val="white"/>
          <w:lang w:val="pt-BR" w:eastAsia="ar-SA" w:bidi="ar-SA"/>
        </w:rPr>
        <w:t>via Sistema de Registro de Preços,</w:t>
      </w: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 xml:space="preserve"> para atendimento aos Órgãos da Administração Direta e Indireta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eastAsia="Times New Roman" w:cs="Arial"/>
          <w:color w:val="000000"/>
          <w:sz w:val="24"/>
          <w:szCs w:val="24"/>
          <w:lang w:val="pt-BR" w:eastAsia="ar-SA" w:bidi="ar-SA"/>
        </w:rPr>
      </w:pPr>
      <w:r>
        <w:rPr>
          <w:rFonts w:eastAsia="Times New Roman" w:cs="Arial" w:ascii="Arial" w:hAnsi="Arial"/>
          <w:color w:val="000000"/>
          <w:sz w:val="24"/>
          <w:szCs w:val="24"/>
          <w:highlight w:val="white"/>
          <w:lang w:val="pt-BR" w:eastAsia="ar-SA" w:bidi="ar-SA"/>
        </w:rPr>
        <w:t>1.2. Estima-se a aquisição dos seguintes itens e respectivas quantidades: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highlight w:val="white"/>
        </w:rPr>
      </w:pPr>
      <w:r>
        <w:rPr>
          <w:highlight w:val="white"/>
        </w:rPr>
      </w:r>
    </w:p>
    <w:tbl>
      <w:tblPr>
        <w:tblW w:w="9240" w:type="dxa"/>
        <w:jc w:val="left"/>
        <w:tblInd w:w="22" w:type="dxa"/>
        <w:tblLayout w:type="fixed"/>
        <w:tblCellMar>
          <w:top w:w="0" w:type="dxa"/>
          <w:left w:w="10" w:type="dxa"/>
          <w:bottom w:w="0" w:type="dxa"/>
          <w:right w:w="70" w:type="dxa"/>
        </w:tblCellMar>
      </w:tblPr>
      <w:tblGrid>
        <w:gridCol w:w="675"/>
        <w:gridCol w:w="4032"/>
        <w:gridCol w:w="1699"/>
        <w:gridCol w:w="1470"/>
        <w:gridCol w:w="1364"/>
      </w:tblGrid>
      <w:tr>
        <w:trPr/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Item</w:t>
            </w:r>
            <w:r>
              <w:rPr>
                <w:rFonts w:eastAsia="Times New Roman" w:cs="Arial" w:ascii="Arial" w:hAnsi="Arial"/>
                <w:b/>
                <w:bCs/>
                <w:color w:val="FF3333"/>
                <w:sz w:val="22"/>
                <w:szCs w:val="22"/>
              </w:rPr>
              <w:t>*</w:t>
            </w:r>
          </w:p>
        </w:tc>
        <w:tc>
          <w:tcPr>
            <w:tcW w:w="40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b/>
                <w:b/>
                <w:bCs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b/>
                <w:bCs/>
                <w:sz w:val="22"/>
                <w:szCs w:val="22"/>
              </w:rPr>
              <w:t>Especificação</w:t>
            </w: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/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Quantidade para 12 meses</w:t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unit.</w:t>
            </w:r>
            <w:r>
              <w:rPr>
                <w:rFonts w:ascii="Arial" w:hAnsi="Arial"/>
                <w:b/>
                <w:bCs/>
                <w:color w:val="FF3333"/>
                <w:sz w:val="22"/>
                <w:szCs w:val="22"/>
              </w:rPr>
              <w:t>**</w:t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  <w:t>Valor Total</w:t>
            </w:r>
          </w:p>
        </w:tc>
      </w:tr>
      <w:tr>
        <w:trPr>
          <w:trHeight w:val="1019" w:hRule="atLeast"/>
        </w:trPr>
        <w:tc>
          <w:tcPr>
            <w:tcW w:w="67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 w:eastAsia="Times New Roman" w:cs="Arial"/>
                <w:sz w:val="22"/>
                <w:szCs w:val="22"/>
              </w:rPr>
            </w:pPr>
            <w:r>
              <w:rPr>
                <w:rFonts w:eastAsia="Times New Roman" w:cs="Arial" w:ascii="Arial" w:hAnsi="Arial"/>
                <w:sz w:val="22"/>
                <w:szCs w:val="22"/>
              </w:rPr>
            </w:r>
          </w:p>
        </w:tc>
        <w:tc>
          <w:tcPr>
            <w:tcW w:w="40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both"/>
              <w:rPr>
                <w:rStyle w:val="Fontepargpadro"/>
                <w:rFonts w:ascii="Arial" w:hAnsi="Arial" w:eastAsia="Times New Roman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pPr>
            <w:r>
              <w:rPr>
                <w:rFonts w:eastAsia="Times New Roman" w:cs="Arial" w:ascii="Arial" w:hAnsi="Arial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A"/>
                <w:spacing w:val="0"/>
                <w:highlight w:val="white"/>
                <w:u w:val="none"/>
                <w:lang w:val="pt-BR" w:eastAsia="zxx" w:bidi="ar-SA"/>
              </w:rPr>
            </w:r>
          </w:p>
        </w:tc>
        <w:tc>
          <w:tcPr>
            <w:tcW w:w="169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</w:r>
          </w:p>
        </w:tc>
        <w:tc>
          <w:tcPr>
            <w:tcW w:w="147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 w:val="false"/>
                <w:b w:val="false"/>
                <w:bCs w:val="false"/>
                <w:i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pPr>
            <w:r>
              <w:rPr>
                <w:rFonts w:ascii="Arial" w:hAnsi="Arial"/>
                <w:b w:val="false"/>
                <w:bCs w:val="false"/>
                <w:i w:val="false"/>
                <w:strike w:val="false"/>
                <w:dstrike w:val="false"/>
                <w:outline w:val="false"/>
                <w:shadow w:val="false"/>
                <w:sz w:val="21"/>
                <w:szCs w:val="21"/>
                <w:u w:val="none"/>
                <w:em w:val="none"/>
              </w:rPr>
            </w:r>
          </w:p>
        </w:tc>
        <w:tc>
          <w:tcPr>
            <w:tcW w:w="136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fill="auto" w:val="clear"/>
            <w:vAlign w:val="center"/>
          </w:tcPr>
          <w:p>
            <w:pPr>
              <w:pStyle w:val="Normal"/>
              <w:widowControl w:val="false"/>
              <w:tabs>
                <w:tab w:val="clear" w:pos="408"/>
                <w:tab w:val="left" w:pos="457" w:leader="none"/>
              </w:tabs>
              <w:bidi w:val="0"/>
              <w:snapToGrid w:val="false"/>
              <w:spacing w:lineRule="auto" w:line="240" w:before="0" w:after="0"/>
              <w:ind w:left="0" w:right="0" w:hanging="0"/>
              <w:jc w:val="center"/>
              <w:rPr>
                <w:rFonts w:ascii="Arial" w:hAnsi="Arial"/>
                <w:b/>
                <w:b/>
                <w:bCs/>
                <w:sz w:val="22"/>
                <w:szCs w:val="22"/>
              </w:rPr>
            </w:pPr>
            <w:r>
              <w:rPr>
                <w:rFonts w:ascii="Arial" w:hAnsi="Arial"/>
                <w:b/>
                <w:bCs/>
                <w:sz w:val="22"/>
                <w:szCs w:val="22"/>
              </w:rPr>
            </w:r>
          </w:p>
        </w:tc>
      </w:tr>
    </w:tbl>
    <w:p>
      <w:pPr>
        <w:pStyle w:val="Normal"/>
        <w:tabs>
          <w:tab w:val="clear" w:pos="408"/>
          <w:tab w:val="left" w:pos="0" w:leader="none"/>
        </w:tabs>
        <w:bidi w:val="0"/>
        <w:spacing w:lineRule="auto" w:line="240" w:before="0" w:after="0"/>
        <w:ind w:left="0" w:right="0" w:hanging="0"/>
        <w:jc w:val="left"/>
        <w:rPr>
          <w:rStyle w:val="LinkdaInternet"/>
          <w:rFonts w:ascii="arial" w:hAnsi="arial" w:eastAsia="Arial Unicode MS;Tahoma" w:cs="arial"/>
          <w:b/>
          <w:b/>
          <w:bCs/>
          <w:i w:val="false"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pPr>
      <w:r>
        <w:rPr>
          <w:rFonts w:eastAsia="Arial Unicode MS;Tahoma" w:cs="arial" w:ascii="arial" w:hAnsi="arial"/>
          <w:b/>
          <w:bCs/>
          <w:i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lang w:val="zxx" w:eastAsia="zxx" w:bidi="zxx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 Preencher o número do item conforme sequencial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** Os valores unitários deverão ser preenchidos de acordo com os valores informados no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Fonts w:cs="arial" w:ascii="arial" w:hAnsi="arial"/>
          <w:b/>
          <w:bCs/>
          <w:color w:val="000000"/>
          <w:sz w:val="24"/>
          <w:szCs w:val="24"/>
        </w:rPr>
        <w:t xml:space="preserve">Obs¹.: </w:t>
      </w:r>
      <w:r>
        <w:rPr>
          <w:rFonts w:cs="arial" w:ascii="arial" w:hAnsi="arial"/>
          <w:color w:val="000000"/>
          <w:sz w:val="24"/>
          <w:szCs w:val="24"/>
        </w:rPr>
        <w:t>A solicitação deverá ser cadastrada no sistema Betha, com os códigos constantes no(s) item(ns) do Termo de Referência.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Calibri" w:cs="arial" w:ascii="arial" w:hAnsi="arial"/>
          <w:b/>
          <w:bCs/>
          <w:color w:val="000000"/>
          <w:sz w:val="24"/>
          <w:szCs w:val="24"/>
          <w:lang w:val="pt-BR" w:eastAsia="zh-CN" w:bidi="ar-SA"/>
        </w:rPr>
        <w:t xml:space="preserve">Obs².: </w:t>
      </w:r>
      <w:r>
        <w:rPr>
          <w:rFonts w:eastAsia="Calibri" w:cs="arial" w:ascii="arial" w:hAnsi="arial"/>
          <w:b w:val="false"/>
          <w:bCs w:val="false"/>
          <w:color w:val="000000"/>
          <w:sz w:val="24"/>
          <w:szCs w:val="24"/>
          <w:u w:val="single"/>
          <w:lang w:val="pt-BR" w:eastAsia="zh-CN" w:bidi="ar-SA"/>
        </w:rPr>
        <w:t>No momento do preenchimento da solicitação no sistema, deverá ser escolhido como órgão gerenciador a Fundação Hospitalar do Município de Varginha.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b/>
          <w:b/>
          <w:bCs/>
          <w:color w:val="000000"/>
          <w:sz w:val="24"/>
          <w:szCs w:val="24"/>
        </w:rPr>
      </w:pPr>
      <w:r>
        <w:rPr>
          <w:rFonts w:cs="arial" w:ascii="arial" w:hAnsi="arial"/>
          <w:b/>
          <w:bCs/>
          <w:color w:val="000000"/>
          <w:sz w:val="24"/>
          <w:szCs w:val="24"/>
        </w:rPr>
        <w:t>2. CONDIÇÕES GERAIS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FF3333"/>
          <w:sz w:val="24"/>
          <w:szCs w:val="24"/>
        </w:rPr>
      </w:pPr>
      <w:r>
        <w:rPr>
          <w:rFonts w:cs="arial" w:ascii="arial" w:hAnsi="arial"/>
          <w:color w:val="FF3333"/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  <w:t>2.1. A contratação se dará em conformidade do disposto no Art. 29 da Lei Federal nº 14.133 de 01 de abril de 2021 e Art. 122 do Decreto Municipal nº 11.595/2023, e demais disposições legais aplicáveis à espécie.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shd w:fill="FFFFFF" w:val="clear"/>
        </w:rPr>
      </w:pPr>
      <w:r>
        <w:rPr>
          <w:rFonts w:cs="arial" w:ascii="Arial" w:hAnsi="Arial"/>
          <w:color w:val="000000"/>
          <w:sz w:val="24"/>
          <w:szCs w:val="24"/>
          <w:shd w:fill="FFFFFF" w:val="clear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Fonts w:eastAsia="Calibri" w:cs="arial" w:ascii="Arial" w:hAnsi="Arial"/>
          <w:color w:val="000000"/>
          <w:sz w:val="24"/>
          <w:szCs w:val="24"/>
          <w:shd w:fill="FFFFFF" w:val="clear"/>
          <w:lang w:val="pt-BR" w:eastAsia="zh-CN" w:bidi="ar-SA"/>
        </w:rPr>
        <w:t xml:space="preserve">2.2. 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O prazo de início da contratação dar-se-á a partir de </w:t>
      </w: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09/12/2025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2.3. O fornecimento dos materiais processar-se-á de forma parcelada, mediante solicitação.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2.4. </w:t>
      </w:r>
      <w:r>
        <w:rPr>
          <w:rStyle w:val="Fontepargpadro"/>
          <w:rFonts w:eastAsia="Arial Unicode MS;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highlight w:val="white"/>
          <w:u w:val="none"/>
          <w:lang w:val="zxx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 xml:space="preserve">O prazo para entrega do material será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>10 (dez) dias corridos</w:t>
      </w:r>
      <w:r>
        <w:rPr>
          <w:rStyle w:val="Fontepargpadro"/>
          <w:rFonts w:eastAsia="Times New Roman" w:cs="Arial" w:ascii="Arial" w:hAnsi="Arial"/>
          <w:b w:val="false"/>
          <w:bCs/>
          <w:i w:val="false"/>
          <w:iCs w:val="false"/>
          <w:caps w:val="false"/>
          <w:smallCaps w:val="false"/>
          <w:strike w:val="false"/>
          <w:dstrike w:val="false"/>
          <w:color w:val="00000A"/>
          <w:sz w:val="24"/>
          <w:szCs w:val="24"/>
          <w:highlight w:val="white"/>
          <w:u w:val="none"/>
          <w:lang w:val="pt-BR" w:eastAsia="zxx" w:bidi="ar-SA"/>
        </w:rPr>
        <w:t>, salvo nos finais de semana, contados do recebimento, pelo fornecedor, da ordem de compra, autorização de fornecimento ou outro instrumento similar, que será enviado via e-mail.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sz w:val="20"/>
          <w:szCs w:val="20"/>
        </w:rPr>
      </w:pPr>
      <w:r>
        <w:rPr>
          <w:sz w:val="20"/>
          <w:szCs w:val="20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2.5.  </w:t>
      </w: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>Os materiais devem ser, preferencialmente, acondicionados em embalagem individual adequada, com o menor volume possível, que utilize materiais recicláveis, de forma a garantir a máxima proteção durante o transporte e o armazenamento.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Teletipo"/>
          <w:rFonts w:eastAsia="Arial Unicode MS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zxx" w:eastAsia="zxx" w:bidi="zxx"/>
        </w:rPr>
        <w:t xml:space="preserve">2.6. 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A(s) contratada(s) deverá(ão) fornecer, em regime de comodato,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 xx (xxxxxxxx)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s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shd w:fill="FFFFFF" w:val="clear"/>
          <w:lang w:val="pt-BR" w:eastAsia="zxx" w:bidi="zxx"/>
        </w:rPr>
        <w:t>istema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shd w:fill="FFFFFF" w:val="clear"/>
          <w:lang w:val="pt-BR" w:eastAsia="zxx" w:bidi="zxx"/>
        </w:rPr>
        <w:t>s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sz w:val="24"/>
          <w:szCs w:val="24"/>
          <w:u w:val="none"/>
          <w:shd w:fill="FFFFFF" w:val="clear"/>
          <w:lang w:val="pt-BR" w:eastAsia="zxx" w:bidi="zxx"/>
        </w:rPr>
        <w:t xml:space="preserve"> de aquecimento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referente ao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Lote I 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e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xx (xxxxxxxx)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kern w:val="0"/>
          <w:sz w:val="24"/>
          <w:szCs w:val="24"/>
          <w:u w:val="none"/>
          <w:shd w:fill="FFFFFF" w:val="clear"/>
          <w:lang w:val="pt-BR" w:eastAsia="pt-BR" w:bidi="ar-SA"/>
        </w:rPr>
        <w:t>u</w:t>
      </w:r>
      <w:r>
        <w:rPr>
          <w:rStyle w:val="Fontepargpadro"/>
          <w:rFonts w:eastAsia="Arial Unicode MS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0"/>
          <w:sz w:val="24"/>
          <w:szCs w:val="24"/>
          <w:u w:val="none"/>
          <w:shd w:fill="auto" w:val="clear"/>
          <w:lang w:val="zxx" w:eastAsia="zxx" w:bidi="zxx"/>
        </w:rPr>
        <w:t>nidade</w:t>
      </w:r>
      <w:r>
        <w:rPr>
          <w:rStyle w:val="Fontepargpadro"/>
          <w:rFonts w:eastAsia="Arial Unicode MS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0"/>
          <w:sz w:val="24"/>
          <w:szCs w:val="24"/>
          <w:u w:val="none"/>
          <w:shd w:fill="auto" w:val="clear"/>
          <w:lang w:val="zxx" w:eastAsia="zxx" w:bidi="zxx"/>
        </w:rPr>
        <w:t>s</w:t>
      </w:r>
      <w:r>
        <w:rPr>
          <w:rStyle w:val="Fontepargpadro"/>
          <w:rFonts w:eastAsia="Arial Unicode MS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000000"/>
          <w:spacing w:val="0"/>
          <w:kern w:val="0"/>
          <w:sz w:val="24"/>
          <w:szCs w:val="24"/>
          <w:u w:val="none"/>
          <w:shd w:fill="auto" w:val="clear"/>
          <w:lang w:val="zxx" w:eastAsia="zxx" w:bidi="zxx"/>
        </w:rPr>
        <w:t xml:space="preserve"> de pressurização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referente ao </w:t>
      </w:r>
      <w:r>
        <w:rPr>
          <w:rStyle w:val="Fontepargpadro"/>
          <w:rFonts w:eastAsia="Times New Roman" w:cs="arial" w:ascii="arial" w:hAnsi="arial"/>
          <w:b/>
          <w:bCs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>Lote II</w:t>
      </w:r>
      <w:r>
        <w:rPr>
          <w:rStyle w:val="Fontepargpadro"/>
          <w:rFonts w:eastAsia="Times New Roman" w:cs="arial" w:ascii="arial" w:hAnsi="arial"/>
          <w:b w:val="false"/>
          <w:bCs w:val="false"/>
          <w:i w:val="false"/>
          <w:iCs/>
          <w:caps w:val="false"/>
          <w:smallCaps w:val="false"/>
          <w:strike w:val="false"/>
          <w:dstrike w:val="false"/>
          <w:color w:val="000000"/>
          <w:sz w:val="24"/>
          <w:szCs w:val="24"/>
          <w:u w:val="none"/>
          <w:shd w:fill="FFFFFF" w:val="clear"/>
          <w:lang w:val="pt-BR" w:eastAsia="zxx" w:bidi="ar-SA"/>
        </w:rPr>
        <w:t xml:space="preserve">, conforme as especificações do Termo de Referência.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(preencher o quantitativo de 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equipamentos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 xml:space="preserve"> a serem comodatad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o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s, conforme necessidade do órgão).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 LOCAL DE ENTREGA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3.1. Os materiais deverão ser entregues … (</w:t>
      </w:r>
      <w:r>
        <w:rPr>
          <w:rStyle w:val="Fontepargpadro"/>
          <w:rFonts w:eastAsia="Times New Roman" w:cs="Arial" w:ascii="arial" w:hAnsi="arial"/>
          <w:b/>
          <w:bCs/>
          <w:i w:val="false"/>
          <w:iCs w:val="false"/>
          <w:caps w:val="false"/>
          <w:smallCaps w:val="false"/>
          <w:strike w:val="false"/>
          <w:dstrike w:val="false"/>
          <w:color w:val="FF3333"/>
          <w:kern w:val="0"/>
          <w:sz w:val="24"/>
          <w:szCs w:val="24"/>
          <w:u w:val="none"/>
          <w:shd w:fill="FFFFFF" w:val="clear"/>
          <w:lang w:val="pt-BR" w:eastAsia="pt-BR" w:bidi="ar-SA"/>
        </w:rPr>
        <w:t>inserir endereço completo e horários de entrega</w:t>
      </w: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), sem nenhum ônus para o Órgão.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  ADEQUAÇÃO ORÇAMENTÁRIA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4.1. As despesas decorrentes da presente contratação correrão à conta de recursos específicos consignados na Lei Orçamentária Anual.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4.2. A contratação será atendida pela seguinte dotação:</w:t>
      </w:r>
    </w:p>
    <w:p>
      <w:pPr>
        <w:pStyle w:val="Normal"/>
        <w:bidi w:val="0"/>
        <w:spacing w:lineRule="auto" w:line="240" w:before="0" w:after="0"/>
        <w:ind w:left="0" w:right="0" w:hanging="0"/>
        <w:jc w:val="left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/>
          <w:b/>
          <w:b/>
          <w:color w:val="000000"/>
          <w:highlight w:val="yellow"/>
        </w:rPr>
      </w:pPr>
      <w:r>
        <w:rPr>
          <w:rStyle w:val="Fontepargpadro"/>
          <w:rFonts w:eastAsia="Calibri" w:cs="arial" w:ascii="Arial" w:hAnsi="Arial"/>
          <w:b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Informar a dotação orçamentária disponível para a aquisição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4.3. Eventual dotação relativa aos exercícios financeiros subsequentes será indicada após aprovação da Lei Orçamentária respectiva e liberação dos créditos correspondentes, mediante apostilamento.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 GESTÃO E FISCALIZAÇÃO CONTRATUAL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5.1. A gestão da contratação será efetuada pelo(a) Sr(a) …. , bem como a fiscalização técnica será realizada pelo(a) Sr(a). …., nomeados pela Portaria nº …/202 .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0000"/>
          <w:sz w:val="24"/>
          <w:szCs w:val="24"/>
          <w:shd w:fill="FFFFFF" w:val="clear"/>
          <w:lang w:val="pt-BR" w:eastAsia="zh-CN" w:bidi="ar-SA"/>
        </w:rPr>
        <w:t xml:space="preserve">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kern w:val="0"/>
          <w:sz w:val="24"/>
          <w:szCs w:val="24"/>
          <w:shd w:fill="FFFFFF" w:val="clear"/>
          <w:lang w:val="pt-BR" w:eastAsia="zh-CN" w:bidi="ar-SA"/>
        </w:rPr>
        <w:t>(informar os nomes e portaria de nomeação).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 CONDIÇÕES DE PAGAMENTO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/>
          <w:b/>
          <w:bCs/>
          <w:i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6.1. Os pagamentos serão efetuados conforme … </w:t>
      </w:r>
      <w:r>
        <w:rPr>
          <w:rStyle w:val="Fontepargpadro"/>
          <w:rFonts w:eastAsia="Calibri" w:cs="arial" w:ascii="Arial" w:hAnsi="Arial"/>
          <w:b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(inserir condições de pagamento do Órgão).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ascii="Arial" w:hAnsi="Arial" w:eastAsia="Calibri" w:cs="arial"/>
          <w:b w:val="false"/>
          <w:b w:val="false"/>
          <w:bCs w:val="false"/>
          <w:i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pPr>
      <w:r>
        <w:rPr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highlight w:val="whit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6.2. Será considerada data do pagamento o dia em que constar depósito bancário para pagamento.</w:t>
      </w:r>
    </w:p>
    <w:p>
      <w:pPr>
        <w:pStyle w:val="ListParagraph"/>
        <w:bidi w:val="0"/>
        <w:spacing w:lineRule="auto" w:line="240" w:before="0" w:after="0"/>
        <w:ind w:left="0" w:right="0" w:hanging="0"/>
        <w:jc w:val="both"/>
        <w:rPr>
          <w:rFonts w:ascii="Arial" w:hAnsi="Arial"/>
          <w:color w:val="000000"/>
          <w:sz w:val="24"/>
          <w:szCs w:val="24"/>
        </w:rPr>
      </w:pPr>
      <w:r>
        <w:rPr>
          <w:rFonts w:ascii="Arial" w:hAnsi="Arial"/>
          <w:color w:val="000000"/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6.3. O pagamento será efetuada com as devidas retenções tributárias previstas em legislação vigente.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/>
          <w:bCs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  DISPOSIÇÕES FINAIS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/>
          <w:b/>
          <w:bCs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/>
          <w:bCs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7.1. O presente Órgão declara estar ciente e de acordo com as condições estabelecidas pela Fundação Hospitalar do Município de Varginha, no que tange a escolha da solução para a presente contratação, as condições elencadas no Termo de Referência e demais documentos relacionados à presente Intenção de Registro de Preços.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7.2. O Órgão declara estar ciente das responsabilidades do ente participante, elencadas na Lei nº 14.133/21 e Decreto nº 11.595/23.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Fonts w:ascii="Arial" w:hAnsi="Arial" w:cs="arial"/>
          <w:color w:val="000000"/>
          <w:sz w:val="24"/>
          <w:szCs w:val="24"/>
          <w:highlight w:val="white"/>
        </w:rPr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Varginha,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FF3333"/>
          <w:sz w:val="24"/>
          <w:szCs w:val="24"/>
          <w:shd w:fill="FFFFFF" w:val="clear"/>
          <w:lang w:val="pt-BR" w:eastAsia="zh-CN" w:bidi="ar-SA"/>
        </w:rPr>
        <w:t>xxxxxx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 de 202</w:t>
      </w: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shd w:fill="FFFFFF" w:val="clear"/>
          <w:lang w:val="pt-BR" w:eastAsia="zh-CN" w:bidi="ar-SA"/>
        </w:rPr>
        <w:t>5</w:t>
      </w:r>
    </w:p>
    <w:p>
      <w:pPr>
        <w:pStyle w:val="Normal"/>
        <w:bidi w:val="0"/>
        <w:spacing w:lineRule="auto" w:line="240" w:before="0" w:after="0"/>
        <w:ind w:left="0" w:right="0" w:hanging="0"/>
        <w:jc w:val="both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>
          <w:rStyle w:val="Fontepargpadro"/>
          <w:rFonts w:eastAsia="Calibri"/>
          <w:b w:val="false"/>
          <w:b w:val="false"/>
          <w:bCs w:val="false"/>
          <w:i w:val="false"/>
          <w:i w:val="false"/>
          <w:iCs w:val="false"/>
          <w:lang w:val="pt-BR" w:eastAsia="zh-CN" w:bidi="ar-SA"/>
        </w:rPr>
      </w:pPr>
      <w:r>
        <w:rPr>
          <w:rFonts w:eastAsia="Calibri"/>
          <w:b w:val="false"/>
          <w:bCs w:val="false"/>
          <w:i w:val="false"/>
          <w:iCs w:val="false"/>
          <w:lang w:val="pt-BR" w:eastAsia="zh-CN" w:bidi="ar-SA"/>
        </w:rPr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>Nome e assinatura do responsável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highlight w:val="white"/>
          <w:lang w:val="pt-BR" w:eastAsia="zh-CN" w:bidi="ar-SA"/>
        </w:rPr>
        <w:t>Cargo</w:t>
      </w:r>
    </w:p>
    <w:p>
      <w:pPr>
        <w:pStyle w:val="Normal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Fontepargpadro"/>
          <w:rFonts w:eastAsia="Calibri" w:cs="arial" w:ascii="Arial" w:hAnsi="Arial"/>
          <w:b w:val="false"/>
          <w:bCs w:val="false"/>
          <w:i w:val="false"/>
          <w:iCs w:val="false"/>
          <w:color w:val="000000"/>
          <w:sz w:val="24"/>
          <w:szCs w:val="24"/>
          <w:shd w:fill="FFFFFF" w:val="clear"/>
          <w:lang w:val="pt-BR" w:eastAsia="zh-CN" w:bidi="ar-SA"/>
        </w:rPr>
        <w:t xml:space="preserve">Órgão </w:t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0" w:top="2410" w:footer="283" w:bottom="1373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DejaVu Sans Mono">
    <w:altName w:val="Yu Gothic"/>
    <w:charset w:val="01"/>
    <w:family w:val="roman"/>
    <w:pitch w:val="variable"/>
  </w:font>
  <w:font w:name="Arial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Arial">
    <w:charset w:val="01"/>
    <w:family w:val="swiss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>
        <w:rFonts w:ascii="arial" w:hAnsi="arial"/>
      </w:rPr>
    </w:pPr>
    <w:r>
      <w:rPr>
        <w:rFonts w:ascii="arial" w:hAnsi="arial"/>
      </w:rPr>
      <w:t>________________________________________________________________________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Rua Presidente Tancredo Neves, 500 – Bom Pastor – Varginha MG – 37.014-460</w:t>
    </w:r>
  </w:p>
  <w:p>
    <w:pPr>
      <w:pStyle w:val="Rodap"/>
      <w:jc w:val="center"/>
      <w:rPr>
        <w:rFonts w:ascii="arial" w:hAnsi="arial"/>
      </w:rPr>
    </w:pPr>
    <w:r>
      <w:rPr>
        <w:rFonts w:ascii="arial" w:hAnsi="arial"/>
      </w:rPr>
      <w:t>CNPJ 19.110.162/0001-00 – Inscrição Estadual Isento – 35 3606.3591/3592/3593/3594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tabs>
        <w:tab w:val="left" w:pos="2031" w:leader="none"/>
        <w:tab w:val="center" w:pos="4252" w:leader="none"/>
        <w:tab w:val="right" w:pos="8504" w:leader="none"/>
      </w:tabs>
      <w:ind w:left="0" w:right="0" w:hanging="1134"/>
      <w:rPr/>
    </w:pPr>
    <w:r>
      <w:rPr/>
      <w:drawing>
        <wp:inline distT="0" distB="0" distL="0" distR="0">
          <wp:extent cx="7229475" cy="1365250"/>
          <wp:effectExtent l="0" t="0" r="0" b="0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347" t="-1763" r="-347" b="-1763"/>
                  <a:stretch>
                    <a:fillRect/>
                  </a:stretch>
                </pic:blipFill>
                <pic:spPr bwMode="auto">
                  <a:xfrm>
                    <a:off x="0" y="0"/>
                    <a:ext cx="7229475" cy="1365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1602740</wp:posOffset>
          </wp:positionH>
          <wp:positionV relativeFrom="paragraph">
            <wp:posOffset>4074160</wp:posOffset>
          </wp:positionV>
          <wp:extent cx="3201670" cy="3201670"/>
          <wp:effectExtent l="0" t="0" r="0" b="0"/>
          <wp:wrapNone/>
          <wp:docPr id="2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1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-779" t="-779" r="-779" b="-779"/>
                  <a:stretch>
                    <a:fillRect/>
                  </a:stretch>
                </pic:blipFill>
                <pic:spPr bwMode="auto">
                  <a:xfrm>
                    <a:off x="0" y="0"/>
                    <a:ext cx="3201670" cy="320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4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52" w:before="0" w:after="160"/>
      <w:jc w:val="left"/>
    </w:pPr>
    <w:rPr>
      <w:rFonts w:ascii="Calibri" w:hAnsi="Calibri" w:eastAsia="Calibri" w:cs=";Calibri"/>
      <w:color w:val="00000A"/>
      <w:kern w:val="0"/>
      <w:sz w:val="22"/>
      <w:szCs w:val="22"/>
      <w:lang w:val="pt-BR" w:eastAsia="zh-CN" w:bidi="ar-SA"/>
    </w:rPr>
  </w:style>
  <w:style w:type="paragraph" w:styleId="Ttulo6">
    <w:name w:val="Heading 6"/>
    <w:basedOn w:val="Normal"/>
    <w:next w:val="Normal"/>
    <w:qFormat/>
    <w:pPr>
      <w:keepNext w:val="true"/>
      <w:numPr>
        <w:ilvl w:val="5"/>
        <w:numId w:val="1"/>
      </w:numPr>
      <w:ind w:left="0" w:right="0" w:hanging="0"/>
      <w:jc w:val="center"/>
      <w:outlineLvl w:val="5"/>
    </w:pPr>
    <w:rPr>
      <w:b/>
      <w:sz w:val="24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Fontepargpadro">
    <w:name w:val="Fonte parág. padrão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DefaultParagraphFont">
    <w:name w:val="Default Paragraph Font"/>
    <w:qFormat/>
    <w:rPr/>
  </w:style>
  <w:style w:type="character" w:styleId="CabealhoChar">
    <w:name w:val="Cabeçalho Char"/>
    <w:basedOn w:val="DefaultParagraphFont"/>
    <w:qFormat/>
    <w:rPr/>
  </w:style>
  <w:style w:type="character" w:styleId="RodapChar">
    <w:name w:val="Rodapé Char"/>
    <w:basedOn w:val="DefaultParagraphFont"/>
    <w:qFormat/>
    <w:rPr/>
  </w:style>
  <w:style w:type="character" w:styleId="TextodebaloChar">
    <w:name w:val="Texto de balão Char"/>
    <w:qFormat/>
    <w:rPr>
      <w:rFonts w:ascii="Tahoma" w:hAnsi="Tahoma" w:cs="Tahoma"/>
      <w:sz w:val="16"/>
      <w:szCs w:val="16"/>
    </w:rPr>
  </w:style>
  <w:style w:type="character" w:styleId="WWFontepargpadro1111">
    <w:name w:val="WW-Fonte parág. padrão1111"/>
    <w:qFormat/>
    <w:rPr/>
  </w:style>
  <w:style w:type="character" w:styleId="LinkdaInternet">
    <w:name w:val="Hyperlink"/>
    <w:basedOn w:val="WWFontepargpadro1111"/>
    <w:rPr>
      <w:color w:val="0000FF"/>
      <w:u w:val="single"/>
    </w:rPr>
  </w:style>
  <w:style w:type="character" w:styleId="Teletipo">
    <w:name w:val="Teletipo"/>
    <w:qFormat/>
    <w:rPr>
      <w:rFonts w:ascii="DejaVu Sans Mono;Yu Gothic" w:hAnsi="DejaVu Sans Mono;Yu Gothic" w:eastAsia="DejaVu Sans Mono;Yu Gothic" w:cs="DejaVu Sans Mono;Yu Gothic"/>
    </w:rPr>
  </w:style>
  <w:style w:type="character" w:styleId="WW8Num5z0">
    <w:name w:val="WW8Num5z0"/>
    <w:qFormat/>
    <w:rPr>
      <w:rFonts w:ascii="Arial" w:hAnsi="Arial" w:cs="Arial"/>
    </w:rPr>
  </w:style>
  <w:style w:type="character" w:styleId="WW8Num6z0">
    <w:name w:val="WW8Num6z0"/>
    <w:qFormat/>
    <w:rPr>
      <w:rFonts w:ascii="Arial" w:hAnsi="Arial" w:cs="Arial"/>
      <w:b w:val="false"/>
      <w:bCs w:val="false"/>
      <w:i w:val="false"/>
      <w:iCs w:val="false"/>
      <w:sz w:val="24"/>
      <w:szCs w:val="24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;Arial" w:hAnsi="Liberation Sans;Arial" w:eastAsia="DejaVu Sans" w:cs="DejaVu Sans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FreeSans;Calib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FreeSans;Calib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FreeSans;Calibri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Liberation Sans;Arial" w:hAnsi="Liberation Sans;Arial" w:eastAsia="DejaVu Sans" w:cs="FreeSans;Calibri"/>
      <w:sz w:val="28"/>
      <w:szCs w:val="28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pPr>
      <w:tabs>
        <w:tab w:val="clear" w:pos="4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uppressAutoHyphens w:val="true"/>
      <w:ind w:left="720" w:right="0" w:hanging="0"/>
    </w:pPr>
    <w:rPr/>
  </w:style>
  <w:style w:type="numbering" w:styleId="WW8Num1">
    <w:name w:val="WW8Num1"/>
    <w:qFormat/>
  </w:style>
  <w:style w:type="numbering" w:styleId="WW8Num5">
    <w:name w:val="WW8Num5"/>
    <w:qFormat/>
  </w:style>
  <w:style w:type="numbering" w:styleId="WW8Num6">
    <w:name w:val="WW8Num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2434</TotalTime>
  <Application>LibreOffice/7.4.7.2$Linux_X86_64 LibreOffice_project/40$Build-2</Application>
  <AppVersion>15.0000</AppVersion>
  <Pages>3</Pages>
  <Words>599</Words>
  <Characters>3507</Characters>
  <CharactersWithSpaces>4069</CharactersWithSpaces>
  <Paragraphs>45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2021-11-09T13:22:00Z</dcterms:created>
  <dc:creator>Odillon</dc:creator>
  <dc:description/>
  <dc:language>pt-BR</dc:language>
  <cp:lastModifiedBy/>
  <cp:lastPrinted>1995-11-21T17:41:00Z</cp:lastPrinted>
  <dcterms:modified xsi:type="dcterms:W3CDTF">2025-10-14T12:19:55Z</dcterms:modified>
  <cp:revision>444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